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2">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3">
      <w:pPr>
        <w:widowControl w:val="1"/>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4">
      <w:pPr>
        <w:widowControl w:val="1"/>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5">
      <w:pPr>
        <w:spacing w:before="185"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комісії з обстеження</w:t>
      </w:r>
    </w:p>
    <w:p w:rsidR="00000000" w:rsidDel="00000000" w:rsidP="00000000" w:rsidRDefault="00000000" w:rsidRPr="00000000" w14:paraId="00000006">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Р І Ш Е Н Н Я </w:t>
      </w:r>
      <w:r w:rsidDel="00000000" w:rsidR="00000000" w:rsidRPr="00000000">
        <w:rPr>
          <w:rtl w:val="0"/>
        </w:rPr>
      </w:r>
    </w:p>
    <w:p w:rsidR="00000000" w:rsidDel="00000000" w:rsidP="00000000" w:rsidRDefault="00000000" w:rsidRPr="00000000" w14:paraId="00000007">
      <w:pPr>
        <w:spacing w:before="240" w:line="240" w:lineRule="auto"/>
        <w:ind w:right="402"/>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highlight w:val="white"/>
          <w:rtl w:val="0"/>
        </w:rPr>
        <w:t xml:space="preserve">від “_____ ” ___________ 2025 року </w:t>
        <w:tab/>
        <w:tab/>
        <w:tab/>
        <w:tab/>
        <w:t xml:space="preserve">         № _____</w:t>
      </w:r>
      <w:r w:rsidDel="00000000" w:rsidR="00000000" w:rsidRPr="00000000">
        <w:rPr>
          <w:rtl w:val="0"/>
        </w:rPr>
      </w:r>
    </w:p>
    <w:p w:rsidR="00000000" w:rsidDel="00000000" w:rsidP="00000000" w:rsidRDefault="00000000" w:rsidRPr="00000000" w14:paraId="00000008">
      <w:pPr>
        <w:spacing w:before="151" w:line="240" w:lineRule="auto"/>
        <w:ind w:left="1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Про </w:t>
      </w:r>
      <w:r w:rsidDel="00000000" w:rsidR="00000000" w:rsidRPr="00000000">
        <w:rPr>
          <w:rFonts w:ascii="Times New Roman" w:cs="Times New Roman" w:eastAsia="Times New Roman" w:hAnsi="Times New Roman"/>
          <w:b w:val="1"/>
          <w:i w:val="1"/>
          <w:sz w:val="24"/>
          <w:szCs w:val="24"/>
          <w:rtl w:val="0"/>
        </w:rPr>
        <w:t xml:space="preserve">проведення дистанційного обстеження об’єктів, які за попередньою інформацією</w:t>
      </w:r>
    </w:p>
    <w:p w:rsidR="00000000" w:rsidDel="00000000" w:rsidP="00000000" w:rsidRDefault="00000000" w:rsidRPr="00000000" w14:paraId="0000000A">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є знищеними та розташовані  на територіях  можливих бойових дій, для яких не </w:t>
      </w:r>
    </w:p>
    <w:p w:rsidR="00000000" w:rsidDel="00000000" w:rsidP="00000000" w:rsidRDefault="00000000" w:rsidRPr="00000000" w14:paraId="0000000B">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визначена дата припинення можливості бойових дій, на територіях активних </w:t>
      </w:r>
    </w:p>
    <w:p w:rsidR="00000000" w:rsidDel="00000000" w:rsidP="00000000" w:rsidRDefault="00000000" w:rsidRPr="00000000" w14:paraId="0000000C">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бойових дій,  активних бойових дій,  на яких функціонують державні електронні </w:t>
      </w:r>
    </w:p>
    <w:p w:rsidR="00000000" w:rsidDel="00000000" w:rsidP="00000000" w:rsidRDefault="00000000" w:rsidRPr="00000000" w14:paraId="0000000D">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інформаційні ресурси,  включених до переліку територій,  на яких ведуться (велися) </w:t>
      </w:r>
    </w:p>
    <w:p w:rsidR="00000000" w:rsidDel="00000000" w:rsidP="00000000" w:rsidRDefault="00000000" w:rsidRPr="00000000" w14:paraId="0000000E">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бойові дії,  для яких не визначена дата завершення бойових дій</w:t>
      </w:r>
    </w:p>
    <w:p w:rsidR="00000000" w:rsidDel="00000000" w:rsidP="00000000" w:rsidRDefault="00000000" w:rsidRPr="00000000" w14:paraId="0000000F">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0">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рішення (розпорядження)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було створено Комісію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комісії з обстеження </w:t>
      </w:r>
      <w:r w:rsidDel="00000000" w:rsidR="00000000" w:rsidRPr="00000000">
        <w:rPr>
          <w:rFonts w:ascii="Times New Roman" w:cs="Times New Roman" w:eastAsia="Times New Roman" w:hAnsi="Times New Roman"/>
          <w:i w:val="1"/>
          <w:sz w:val="24"/>
          <w:szCs w:val="24"/>
          <w:rtl w:val="0"/>
        </w:rPr>
        <w:t xml:space="preserve">пошкоджених будівель і споруд, об’єктів незавершеного будівництва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rtl w:val="0"/>
        </w:rPr>
        <w:t xml:space="preserve"> (далі — Комісія) та затверджено її кількісний та персональний склад.</w:t>
      </w:r>
    </w:p>
    <w:p w:rsidR="00000000" w:rsidDel="00000000" w:rsidP="00000000" w:rsidRDefault="00000000" w:rsidRPr="00000000" w14:paraId="00000011">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_________ ____ року засобами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на розгляд Комісії надійшло інформаційне повідомлення (інформаційні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інформаційного повідомлення або групи інформаційних повідомлень)</w:t>
      </w:r>
      <w:r w:rsidDel="00000000" w:rsidR="00000000" w:rsidRPr="00000000">
        <w:rPr>
          <w:rFonts w:ascii="Times New Roman" w:cs="Times New Roman" w:eastAsia="Times New Roman" w:hAnsi="Times New Roman"/>
          <w:rtl w:val="0"/>
        </w:rPr>
        <w:t xml:space="preserve">, в якому (яких) стан пошкодженого майна зазначений як “непридатно до експлуатації” або “знищено повністю” (далі – інформаційне повідомлення або інформаційні повідомлення).</w:t>
      </w:r>
    </w:p>
    <w:p w:rsidR="00000000" w:rsidDel="00000000" w:rsidP="00000000" w:rsidRDefault="00000000" w:rsidRPr="00000000" w14:paraId="00000012">
      <w:pP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Як вбачається з інформаційного повідомлення/інформаційних повідомлень, адресою (місцезнаходження) нерухомого майна щодо якого подано інформаційне повідомлення/інформаційні повідомлення визначено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13">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Згідно з Переліком територій, на яких ведуться (велися) бойові дії або тимчасово окупованих Російською Федерацією, затвердженим </w:t>
      </w:r>
      <w:r w:rsidDel="00000000" w:rsidR="00000000" w:rsidRPr="00000000">
        <w:rPr>
          <w:rFonts w:ascii="Times New Roman" w:cs="Times New Roman" w:eastAsia="Times New Roman" w:hAnsi="Times New Roman"/>
          <w:rtl w:val="0"/>
        </w:rPr>
        <w:t xml:space="preserve">Наказ Міністерства розвитку громад та територій України 28 лютого 2025 року № 376, територія на якій розташоване нерухоме майно, щодо якого подано інформаційне повідомлення/інформаційні повідомлення, належить до територій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w:t>
      </w:r>
      <w:r w:rsidDel="00000000" w:rsidR="00000000" w:rsidRPr="00000000">
        <w:rPr>
          <w:rFonts w:ascii="Times New Roman" w:cs="Times New Roman" w:eastAsia="Times New Roman" w:hAnsi="Times New Roman"/>
          <w:i w:val="1"/>
          <w:sz w:val="24"/>
          <w:szCs w:val="24"/>
          <w:rtl w:val="0"/>
        </w:rPr>
        <w:t xml:space="preserve">обирається тип територій згідно з Переліком</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підпункту 2 пункту 1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(далі – Порядок № 473), цей Порядок визначає механізм оперативного реагування виконавчих органів сільських, селищних, міських рад, військових адміністрацій, центральних органів виконавчої влади, органів управління та сил цивільного захисту, спрямований на ліквідацію наслідків збройної агресії Російської Федерації, пов’язаних із пошкодженням будівель та споруд на території України, крім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або тимчасової окупації, а також застосовується для фіксації пошкоджень будівель та споруд, зумовлених збройною агресією Російської Федерації на територіях активних бойових дій, на територіях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 щодо будівель та споруд, визначених у пункті 6-1 цього Порядку.</w:t>
      </w:r>
    </w:p>
    <w:p w:rsidR="00000000" w:rsidDel="00000000" w:rsidP="00000000" w:rsidRDefault="00000000" w:rsidRPr="00000000" w14:paraId="00000015">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приписами пункту 6-1 Порядку № 473, з метою фіксації факту знищення об’єктів, які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проводиться обстеження:</w:t>
      </w:r>
    </w:p>
    <w:p w:rsidR="00000000" w:rsidDel="00000000" w:rsidP="00000000" w:rsidRDefault="00000000" w:rsidRPr="00000000" w14:paraId="00000016">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 відсутності безпосередньої загрози життю та здоров’ю людей під час проведення обстеження, зумовленої воєнними (бойовими) діями, та за умови наявності можливості дотримання заходів, передбачених пунктом 8 цього Порядку, - шляхом комісійного обстеження, що проводиться відповідно пункту 8-1 цього Порядку, та/або технічного обстеження, що проводиться відповідно пункту 9 цього Порядку;</w:t>
      </w:r>
    </w:p>
    <w:p w:rsidR="00000000" w:rsidDel="00000000" w:rsidP="00000000" w:rsidRDefault="00000000" w:rsidRPr="00000000" w14:paraId="00000017">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 інших випадках - шляхом проведення комісією, утвореною відповідно до пункту 8-1 цього Порядку, дистанційного обстеження відповідно до особливостей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7 липня 2025 р. № 815.</w:t>
      </w:r>
    </w:p>
    <w:p w:rsidR="00000000" w:rsidDel="00000000" w:rsidP="00000000" w:rsidRDefault="00000000" w:rsidRPr="00000000" w14:paraId="00000018">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Механізм проведення обстеження знищених окремих категорій об’єктів нерухомого майна із застосуванням продуктів дистанційного спостереження визначається Особливостями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затвердженими постановою Кабінету Міністрів України від 7 липня 2025 р. № 815 (далі – Особливості).</w:t>
      </w:r>
    </w:p>
    <w:p w:rsidR="00000000" w:rsidDel="00000000" w:rsidP="00000000" w:rsidRDefault="00000000" w:rsidRPr="00000000" w14:paraId="00000019">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абзацу першого пункту 10 Особливостей, рішення про дистанційне обстеження приймається комісією, утвореною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на підставі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відповідно до Порядку подання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26 березня 2022 р. № 380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(Офіційний вісник України, 2022 р., № 28, ст. 1539; 2023 р., № 61, ст. 3437) (далі - інформаційне повідомлення), в якому стан пошкодженого майна зазначений як “непридатне до експлуатації” або “знищене повністю”.</w:t>
      </w:r>
    </w:p>
    <w:p w:rsidR="00000000" w:rsidDel="00000000" w:rsidP="00000000" w:rsidRDefault="00000000" w:rsidRPr="00000000" w14:paraId="0000001A">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Розглянувши інформаційне повідомлення (інформаційні повідомлення) № ________________ від __ __ ______ року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інформаційного повідомлення або групи інформаційних повідомлень)</w:t>
      </w:r>
      <w:r w:rsidDel="00000000" w:rsidR="00000000" w:rsidRPr="00000000">
        <w:rPr>
          <w:rFonts w:ascii="Times New Roman" w:cs="Times New Roman" w:eastAsia="Times New Roman" w:hAnsi="Times New Roman"/>
          <w:highlight w:val="white"/>
          <w:rtl w:val="0"/>
        </w:rPr>
        <w:t xml:space="preserve">, отримавши від уповноваженого органу 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начальник військової адміністрації)</w:t>
      </w:r>
      <w:r w:rsidDel="00000000" w:rsidR="00000000" w:rsidRPr="00000000">
        <w:rPr>
          <w:rFonts w:ascii="Times New Roman" w:cs="Times New Roman" w:eastAsia="Times New Roman" w:hAnsi="Times New Roman"/>
          <w:highlight w:val="white"/>
          <w:rtl w:val="0"/>
        </w:rPr>
        <w:t xml:space="preserve"> інформацію ______________________________</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(зазначається назва підрозділу Збройних Сил та реквізити документа, яким надано таку інформацію) </w:t>
      </w:r>
      <w:r w:rsidDel="00000000" w:rsidR="00000000" w:rsidRPr="00000000">
        <w:rPr>
          <w:rFonts w:ascii="Times New Roman" w:cs="Times New Roman" w:eastAsia="Times New Roman" w:hAnsi="Times New Roman"/>
          <w:highlight w:val="white"/>
          <w:rtl w:val="0"/>
        </w:rPr>
        <w:t xml:space="preserve">про наявність безпосередньої загрози життю та здоров’ю людей під час проведення обстеження на території проведення обстеження, зумовленої воєнними (бойовими) діями, та відсутність можливості дотримання заходів, передбачених пунктом 8 Порядку № 473, </w:t>
      </w:r>
      <w:r w:rsidDel="00000000" w:rsidR="00000000" w:rsidRPr="00000000">
        <w:rPr>
          <w:rFonts w:ascii="Times New Roman" w:cs="Times New Roman" w:eastAsia="Times New Roman" w:hAnsi="Times New Roman"/>
          <w:rtl w:val="0"/>
        </w:rPr>
        <w:t xml:space="preserve">керуючись пунктом 10 Особливостей Комісія</w:t>
      </w:r>
      <w:r w:rsidDel="00000000" w:rsidR="00000000" w:rsidRPr="00000000">
        <w:rPr>
          <w:rtl w:val="0"/>
        </w:rPr>
      </w:r>
    </w:p>
    <w:p w:rsidR="00000000" w:rsidDel="00000000" w:rsidP="00000000" w:rsidRDefault="00000000" w:rsidRPr="00000000" w14:paraId="0000001B">
      <w:pPr>
        <w:spacing w:before="127" w:line="240" w:lineRule="auto"/>
        <w:ind w:left="586" w:firstLine="0"/>
        <w:rPr/>
      </w:pPr>
      <w:r w:rsidDel="00000000" w:rsidR="00000000" w:rsidRPr="00000000">
        <w:rPr>
          <w:rFonts w:ascii="Times New Roman" w:cs="Times New Roman" w:eastAsia="Times New Roman" w:hAnsi="Times New Roman"/>
          <w:highlight w:val="white"/>
          <w:rtl w:val="0"/>
        </w:rPr>
        <w:tab/>
        <w:tab/>
        <w:tab/>
        <w:tab/>
        <w:t xml:space="preserve">              </w:t>
      </w:r>
      <w:r w:rsidDel="00000000" w:rsidR="00000000" w:rsidRPr="00000000">
        <w:rPr>
          <w:rFonts w:ascii="Times New Roman" w:cs="Times New Roman" w:eastAsia="Times New Roman" w:hAnsi="Times New Roman"/>
          <w:b w:val="1"/>
          <w:highlight w:val="white"/>
          <w:rtl w:val="0"/>
        </w:rPr>
        <w:t xml:space="preserve">ВИРІШИЛА: </w:t>
      </w:r>
      <w:r w:rsidDel="00000000" w:rsidR="00000000" w:rsidRPr="00000000">
        <w:rPr>
          <w:rtl w:val="0"/>
        </w:rPr>
      </w:r>
    </w:p>
    <w:p w:rsidR="00000000" w:rsidDel="00000000" w:rsidP="00000000" w:rsidRDefault="00000000" w:rsidRPr="00000000" w14:paraId="0000001C">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Провести дистанційне </w:t>
      </w:r>
      <w:r w:rsidDel="00000000" w:rsidR="00000000" w:rsidRPr="00000000">
        <w:rPr>
          <w:rFonts w:ascii="Times New Roman" w:cs="Times New Roman" w:eastAsia="Times New Roman" w:hAnsi="Times New Roman"/>
          <w:rtl w:val="0"/>
        </w:rPr>
        <w:t xml:space="preserve">обстеження 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згідно з переліком, що додається </w:t>
      </w:r>
      <w:r w:rsidDel="00000000" w:rsidR="00000000" w:rsidRPr="00000000">
        <w:rPr>
          <w:rFonts w:ascii="Times New Roman" w:cs="Times New Roman" w:eastAsia="Times New Roman" w:hAnsi="Times New Roman"/>
          <w:highlight w:val="white"/>
          <w:rtl w:val="0"/>
        </w:rPr>
        <w:t xml:space="preserve">(далі – Перелік).</w:t>
      </w:r>
    </w:p>
    <w:p w:rsidR="00000000" w:rsidDel="00000000" w:rsidP="00000000" w:rsidRDefault="00000000" w:rsidRPr="00000000" w14:paraId="0000001D">
      <w:pPr>
        <w:spacing w:before="117" w:line="228"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Додаток:</w:t>
      </w:r>
      <w:r w:rsidDel="00000000" w:rsidR="00000000" w:rsidRPr="00000000">
        <w:rPr>
          <w:rtl w:val="0"/>
        </w:rPr>
      </w:r>
    </w:p>
    <w:p w:rsidR="00000000" w:rsidDel="00000000" w:rsidP="00000000" w:rsidRDefault="00000000" w:rsidRPr="00000000" w14:paraId="0000001F">
      <w:pPr>
        <w:numPr>
          <w:ilvl w:val="0"/>
          <w:numId w:val="1"/>
        </w:numPr>
        <w:spacing w:before="128" w:line="228" w:lineRule="auto"/>
        <w:ind w:left="720" w:right="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Перелік </w:t>
      </w:r>
      <w:r w:rsidDel="00000000" w:rsidR="00000000" w:rsidRPr="00000000">
        <w:rPr>
          <w:rFonts w:ascii="Times New Roman" w:cs="Times New Roman" w:eastAsia="Times New Roman" w:hAnsi="Times New Roman"/>
          <w:rtl w:val="0"/>
        </w:rPr>
        <w:t xml:space="preserve">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 підлягають  дистанційному обстеженню відповідно до Особливостей,</w:t>
      </w:r>
      <w:r w:rsidDel="00000000" w:rsidR="00000000" w:rsidRPr="00000000">
        <w:rPr>
          <w:rFonts w:ascii="Times New Roman" w:cs="Times New Roman" w:eastAsia="Times New Roman" w:hAnsi="Times New Roman"/>
          <w:highlight w:val="white"/>
          <w:rtl w:val="0"/>
        </w:rPr>
        <w:t xml:space="preserve"> на _____ арк.</w:t>
      </w:r>
    </w:p>
    <w:p w:rsidR="00000000" w:rsidDel="00000000" w:rsidP="00000000" w:rsidRDefault="00000000" w:rsidRPr="00000000" w14:paraId="00000020">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1">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22">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Секретар Комісії</w:t>
        <w:tab/>
        <w:tab/>
        <w:tab/>
        <w:tab/>
        <w:tab/>
        <w:tab/>
        <w:t xml:space="preserve">                Ім'я ПРІЗВИЩЕ</w:t>
      </w:r>
      <w:r w:rsidDel="00000000" w:rsidR="00000000" w:rsidRPr="00000000">
        <w:rPr>
          <w:rtl w:val="0"/>
        </w:rPr>
      </w:r>
    </w:p>
    <w:p w:rsidR="00000000" w:rsidDel="00000000" w:rsidP="00000000" w:rsidRDefault="00000000" w:rsidRPr="00000000" w14:paraId="00000023">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Члени Комісії</w:t>
        <w:tab/>
        <w:tab/>
        <w:tab/>
        <w:tab/>
        <w:tab/>
        <w:tab/>
        <w:tab/>
        <w:t xml:space="preserve">      Ім'я ПРІЗВИЩЕ</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bookmarkStart w:colFirst="0" w:colLast="0" w:name="_heading=h.ki1ucyhwz85f" w:id="0"/>
      <w:bookmarkEnd w:id="0"/>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bookmarkStart w:colFirst="0" w:colLast="0" w:name="_heading=h.ao87zwbu9cxy" w:id="1"/>
      <w:bookmarkEnd w:id="1"/>
      <w:r w:rsidDel="00000000" w:rsidR="00000000" w:rsidRPr="00000000">
        <w:rPr>
          <w:rtl w:val="0"/>
        </w:rPr>
      </w:r>
    </w:p>
    <w:p w:rsidR="00000000" w:rsidDel="00000000" w:rsidP="00000000" w:rsidRDefault="00000000" w:rsidRPr="00000000" w14:paraId="0000002D">
      <w:pPr>
        <w:ind w:left="1416" w:firstLine="707.9999999999998"/>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Додаток до рішення  № ___ від __._______.202_ року</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ПЕРЕЛІК</w:t>
      </w:r>
    </w:p>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 підлягають дистанційному обстеженню відповідно до пункту 10 Особливостей</w:t>
      </w:r>
    </w:p>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tl w:val="0"/>
        </w:rPr>
      </w:r>
    </w:p>
    <w:tbl>
      <w:tblPr>
        <w:tblStyle w:val="Table1"/>
        <w:tblW w:w="93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2115"/>
        <w:gridCol w:w="1965"/>
        <w:gridCol w:w="4485"/>
        <w:tblGridChange w:id="0">
          <w:tblGrid>
            <w:gridCol w:w="810"/>
            <w:gridCol w:w="2115"/>
            <w:gridCol w:w="1965"/>
            <w:gridCol w:w="4485"/>
          </w:tblGrid>
        </w:tblGridChange>
      </w:tblGrid>
      <w:tr>
        <w:trPr>
          <w:cantSplit w:val="0"/>
          <w:tblHeader w:val="0"/>
        </w:trPr>
        <w:tc>
          <w:tcPr/>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п/п</w:t>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інформаційного повідомлення</w:t>
            </w:r>
          </w:p>
        </w:tc>
        <w:tc>
          <w:tcPr/>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та назва будівлі, споруди (тип та назва об’єкта нерухомого майна)</w:t>
            </w:r>
          </w:p>
        </w:tc>
        <w:tc>
          <w:tcPr/>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(місцезнаходження) нерухомого майна згідно з інформаційним повідомленням</w:t>
            </w:r>
          </w:p>
        </w:tc>
      </w:tr>
      <w:tr>
        <w:trPr>
          <w:cantSplit w:val="0"/>
          <w:tblHeader w:val="0"/>
        </w:trPr>
        <w:tc>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 </w:t>
            </w:r>
          </w:p>
        </w:tc>
        <w:tc>
          <w:tcPr/>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Житловий будинок</w:t>
            </w:r>
          </w:p>
        </w:tc>
        <w:tc>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Україна, 00000, Харківська область, Харківський район, селище Козача Лопань, вулиця Харківська, будинок 1</w:t>
            </w:r>
          </w:p>
        </w:tc>
      </w:tr>
      <w:tr>
        <w:trPr>
          <w:cantSplit w:val="0"/>
          <w:tblHeader w:val="0"/>
        </w:trPr>
        <w:tc>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44">
      <w:pPr>
        <w:spacing w:before="128" w:line="228" w:lineRule="auto"/>
        <w:ind w:right="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aC9zaUYGLIRSJayFQpXhs8B7g==">CgMxLjAyDmgua2kxdWN5aHd6ODVmMg5oLmFvODd6d2J1OWN4eTgAciExNDZZSDJxZkZ3bzgwZ1diV0d5Y2tQUFhSM2hpUGRvbW8=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2025-09-10T14:52:00Z</dcterms:created>
  <dc:creator>ІПГД</dc:creator>
</cp:coreProperties>
</file>