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уповноваженого органу</w:t>
      </w:r>
    </w:p>
    <w:p w:rsidR="00000000" w:rsidDel="00000000" w:rsidP="00000000" w:rsidRDefault="00000000" w:rsidRPr="00000000" w14:paraId="00000004">
      <w:pPr>
        <w:spacing w:before="185"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комісії з обстеження</w:t>
      </w:r>
    </w:p>
    <w:p w:rsidR="00000000" w:rsidDel="00000000" w:rsidP="00000000" w:rsidRDefault="00000000" w:rsidRPr="00000000" w14:paraId="00000005">
      <w:pPr>
        <w:spacing w:before="165" w:line="240" w:lineRule="auto"/>
        <w:jc w:val="center"/>
        <w:rPr/>
      </w:pPr>
      <w:r w:rsidDel="00000000" w:rsidR="00000000" w:rsidRPr="00000000">
        <w:rPr>
          <w:rFonts w:ascii="Times New Roman" w:cs="Times New Roman" w:eastAsia="Times New Roman" w:hAnsi="Times New Roman"/>
          <w:b w:val="1"/>
          <w:highlight w:val="white"/>
          <w:rtl w:val="0"/>
        </w:rPr>
        <w:t xml:space="preserve">Р І Ш Е Н Н Я </w:t>
      </w:r>
      <w:r w:rsidDel="00000000" w:rsidR="00000000" w:rsidRPr="00000000">
        <w:rPr>
          <w:rtl w:val="0"/>
        </w:rPr>
      </w:r>
    </w:p>
    <w:p w:rsidR="00000000" w:rsidDel="00000000" w:rsidP="00000000" w:rsidRDefault="00000000" w:rsidRPr="00000000" w14:paraId="00000006">
      <w:pPr>
        <w:spacing w:before="240" w:line="240" w:lineRule="auto"/>
        <w:ind w:right="402"/>
        <w:rPr/>
      </w:pPr>
      <w:r w:rsidDel="00000000" w:rsidR="00000000" w:rsidRPr="00000000">
        <w:rPr>
          <w:rFonts w:ascii="Times New Roman" w:cs="Times New Roman" w:eastAsia="Times New Roman" w:hAnsi="Times New Roman"/>
          <w:highlight w:val="white"/>
          <w:rtl w:val="0"/>
        </w:rPr>
        <w:t xml:space="preserve">від “_____ ” ___________ 2025 року </w:t>
        <w:tab/>
        <w:tab/>
        <w:tab/>
        <w:tab/>
        <w:t xml:space="preserve">           № _____</w:t>
      </w:r>
      <w:r w:rsidDel="00000000" w:rsidR="00000000" w:rsidRPr="00000000">
        <w:rPr>
          <w:rtl w:val="0"/>
        </w:rPr>
      </w:r>
    </w:p>
    <w:p w:rsidR="00000000" w:rsidDel="00000000" w:rsidP="00000000" w:rsidRDefault="00000000" w:rsidRPr="00000000" w14:paraId="00000007">
      <w:pPr>
        <w:spacing w:before="151" w:line="240" w:lineRule="auto"/>
        <w:ind w:left="18"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8">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Про внесення пропозицій щодо </w:t>
      </w:r>
      <w:r w:rsidDel="00000000" w:rsidR="00000000" w:rsidRPr="00000000">
        <w:rPr>
          <w:rFonts w:ascii="Times New Roman" w:cs="Times New Roman" w:eastAsia="Times New Roman" w:hAnsi="Times New Roman"/>
          <w:b w:val="1"/>
          <w:i w:val="1"/>
          <w:sz w:val="24"/>
          <w:szCs w:val="24"/>
          <w:rtl w:val="0"/>
        </w:rPr>
        <w:t xml:space="preserve">проведення </w:t>
      </w:r>
    </w:p>
    <w:p w:rsidR="00000000" w:rsidDel="00000000" w:rsidP="00000000" w:rsidRDefault="00000000" w:rsidRPr="00000000" w14:paraId="00000009">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дистанційного обстеження об’єктів, які за попередньою інформацією є знищеними та</w:t>
      </w:r>
    </w:p>
    <w:p w:rsidR="00000000" w:rsidDel="00000000" w:rsidP="00000000" w:rsidRDefault="00000000" w:rsidRPr="00000000" w14:paraId="0000000A">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розташовані  на територіях  можливих бойових дій, для яких не визначена дата</w:t>
      </w:r>
    </w:p>
    <w:p w:rsidR="00000000" w:rsidDel="00000000" w:rsidP="00000000" w:rsidRDefault="00000000" w:rsidRPr="00000000" w14:paraId="0000000B">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припинення можливості бойових дій, на територіях активних бойових дій, </w:t>
      </w:r>
    </w:p>
    <w:p w:rsidR="00000000" w:rsidDel="00000000" w:rsidP="00000000" w:rsidRDefault="00000000" w:rsidRPr="00000000" w14:paraId="0000000C">
      <w:pPr>
        <w:spacing w:before="94"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активних бойових дій,  на яких функціонують державні електронні інформаційні</w:t>
      </w:r>
    </w:p>
    <w:p w:rsidR="00000000" w:rsidDel="00000000" w:rsidP="00000000" w:rsidRDefault="00000000" w:rsidRPr="00000000" w14:paraId="0000000D">
      <w:pPr>
        <w:spacing w:before="94"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ресурси,  включених до переліку територій,  на яких ведуться (велися) бойові дії, </w:t>
      </w:r>
    </w:p>
    <w:p w:rsidR="00000000" w:rsidDel="00000000" w:rsidP="00000000" w:rsidRDefault="00000000" w:rsidRPr="00000000" w14:paraId="0000000E">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для яких не визначена дата завершення бойових дій</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рішення (розпорядження)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 __ від __ _______ _____ року було створено Комісію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комісії з обстеження </w:t>
      </w:r>
      <w:r w:rsidDel="00000000" w:rsidR="00000000" w:rsidRPr="00000000">
        <w:rPr>
          <w:rFonts w:ascii="Times New Roman" w:cs="Times New Roman" w:eastAsia="Times New Roman" w:hAnsi="Times New Roman"/>
          <w:i w:val="1"/>
          <w:sz w:val="24"/>
          <w:szCs w:val="24"/>
          <w:rtl w:val="0"/>
        </w:rPr>
        <w:t xml:space="preserve">пошкоджених будівель і споруд, об’єктів незавершеного будівництва</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rtl w:val="0"/>
        </w:rPr>
        <w:t xml:space="preserve"> (далі — Комісія) та затверджено її кількісний та персональний склад.</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 _________ ____ року засобами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на розгляд Комісії надійшло інформаційне повідомлення (інформаційні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i w:val="1"/>
          <w:sz w:val="24"/>
          <w:szCs w:val="24"/>
          <w:highlight w:val="white"/>
          <w:rtl w:val="0"/>
        </w:rPr>
        <w:t xml:space="preserve">(зазначаються реквізити інформаційного повідомлення або групи інформаційних повідомлень)</w:t>
      </w:r>
      <w:r w:rsidDel="00000000" w:rsidR="00000000" w:rsidRPr="00000000">
        <w:rPr>
          <w:rFonts w:ascii="Times New Roman" w:cs="Times New Roman" w:eastAsia="Times New Roman" w:hAnsi="Times New Roman"/>
          <w:rtl w:val="0"/>
        </w:rPr>
        <w:t xml:space="preserve">, в якому (яких) стан пошкодженого майна зазначений як “непридатно до експлуатації” або “знищено повністю” (далі – інформаційне повідомлення або інформаційні повідомлення).</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Як вбачається з інформаційного повідомлення/інформаційних повідомлень, адресою (місцезнаходження) нерухомого майна щодо якого подано інформаційне повідомлення/інформаційні повідомлення визначено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Згідно з Переліком територій, на яких ведуться (велися) бойові дії або тимчасово окупованих Російською Федерацією, затвердженим </w:t>
      </w:r>
      <w:r w:rsidDel="00000000" w:rsidR="00000000" w:rsidRPr="00000000">
        <w:rPr>
          <w:rFonts w:ascii="Times New Roman" w:cs="Times New Roman" w:eastAsia="Times New Roman" w:hAnsi="Times New Roman"/>
          <w:rtl w:val="0"/>
        </w:rPr>
        <w:t xml:space="preserve">Наказ Міністерства розвитку громад та територій України 28 лютого 2025 року № 376, територія на якій розташоване нерухоме майно, щодо якого подано інформаційне повідомлення/інформаційні повідомлення, належить до територій активних бойових дій або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w:t>
      </w:r>
      <w:r w:rsidDel="00000000" w:rsidR="00000000" w:rsidRPr="00000000">
        <w:rPr>
          <w:rFonts w:ascii="Times New Roman" w:cs="Times New Roman" w:eastAsia="Times New Roman" w:hAnsi="Times New Roman"/>
          <w:i w:val="1"/>
          <w:sz w:val="24"/>
          <w:szCs w:val="24"/>
          <w:rtl w:val="0"/>
        </w:rPr>
        <w:t xml:space="preserve">обирається тип територій згідно з Переліком</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підпункту 2 пункту 1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(далі – Порядок № 473), цей Порядок визначає механізм оперативного реагування виконавчих органів сільських, селищних, міських рад, військових адміністрацій, центральних органів виконавчої влади, органів управління та сил цивільного захисту, спрямований на ліквідацію наслідків збройної агресії Російської Федерації, пов’язаних із пошкодженням будівель та споруд на території України, крім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або тимчасової окупації, а також застосовується для фіксації пошкоджень будівель та споруд, зумовлених збройною агресією Російської Федерації на територіях активних бойових дій, на територіях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 щодо будівель та споруд, визначених у пункті 6-1 цього Порядку.</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приписами пункту 6-1 Порядку № 473, з метою фіксації факту знищення об’єктів, які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проводиться обстеження:</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за відсутності безпосередньої загрози життю та здоров’ю людей під час проведення обстеження, зумовленої воєнними (бойовими) діями, та за умови наявності можливості дотримання заходів, передбачених пунктом 8 цього Порядку, - шляхом комісійного обстеження, що проводиться відповідно пункту 8-1 цього Порядку, та/або технічного обстеження, що проводиться відповідно пункту 9 цього Порядку;</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 інших випадках - шляхом проведення комісією, утвореною відповідно до пункту 8-1 цього Порядку, дистанційного обстеження відповідно до особливостей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 постановою Кабінету Міністрів України від 7 липня 2025 р. № 815.</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 щодо проведення обстеження знищених об’єктів приймається уповноваженим органом на підставі пропозицій комісії, утвореної відповідно пункту 8-1 цього Порядку, та повинне містити інформацію про вид обстеження (комісійне, дистанційне або технічне). При цьому план робіт не складається.</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Додатково, під час визначення виду обстеження, Комісією враховано інформацію про неможливість проведення комісійного обстеження, що проводиться відповідно пункту 8-1 Порядку № 473, та/або технічного обстеження, що проводиться відповідно пункту 9 Порядку № 473, спричиненою безпосередньою загрозою життю та здоров’ю людей під час проведення обстеження, що зумовлена воєнними (бойовими) діями на території територіальної громади та підтверджується що наказом Головнокомандувача Збройних Сил про визначення районів ведення воєнних (бойових) дій _____________ (</w:t>
      </w:r>
      <w:r w:rsidDel="00000000" w:rsidR="00000000" w:rsidRPr="00000000">
        <w:rPr>
          <w:rFonts w:ascii="Times New Roman" w:cs="Times New Roman" w:eastAsia="Times New Roman" w:hAnsi="Times New Roman"/>
          <w:i w:val="1"/>
          <w:sz w:val="24"/>
          <w:szCs w:val="24"/>
          <w:rtl w:val="0"/>
        </w:rPr>
        <w:t xml:space="preserve">зазначаються реквізити наказу Головнокомандувача Збройних Сил про визначення районів ведення воєнних (бойових) дій</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Враховуючи вищенаведене, керуючись пунктом 6-1 Порядку № 473, Комісія</w:t>
      </w:r>
    </w:p>
    <w:p w:rsidR="00000000" w:rsidDel="00000000" w:rsidP="00000000" w:rsidRDefault="00000000" w:rsidRPr="00000000" w14:paraId="0000001A">
      <w:pPr>
        <w:spacing w:before="127" w:line="240" w:lineRule="auto"/>
        <w:ind w:left="586" w:firstLine="0"/>
        <w:rPr/>
      </w:pPr>
      <w:r w:rsidDel="00000000" w:rsidR="00000000" w:rsidRPr="00000000">
        <w:rPr>
          <w:rFonts w:ascii="Times New Roman" w:cs="Times New Roman" w:eastAsia="Times New Roman" w:hAnsi="Times New Roman"/>
          <w:highlight w:val="white"/>
          <w:rtl w:val="0"/>
        </w:rPr>
        <w:tab/>
        <w:tab/>
        <w:tab/>
        <w:tab/>
        <w:tab/>
        <w:t xml:space="preserve">    </w:t>
      </w:r>
      <w:r w:rsidDel="00000000" w:rsidR="00000000" w:rsidRPr="00000000">
        <w:rPr>
          <w:rFonts w:ascii="Times New Roman" w:cs="Times New Roman" w:eastAsia="Times New Roman" w:hAnsi="Times New Roman"/>
          <w:b w:val="1"/>
          <w:highlight w:val="white"/>
          <w:rtl w:val="0"/>
        </w:rPr>
        <w:t xml:space="preserve">В И Р І Ш И Л А: </w:t>
      </w:r>
      <w:r w:rsidDel="00000000" w:rsidR="00000000" w:rsidRPr="00000000">
        <w:rPr>
          <w:rtl w:val="0"/>
        </w:rPr>
      </w:r>
    </w:p>
    <w:p w:rsidR="00000000" w:rsidDel="00000000" w:rsidP="00000000" w:rsidRDefault="00000000" w:rsidRPr="00000000" w14:paraId="0000001B">
      <w:pPr>
        <w:spacing w:before="117" w:line="22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 Внести уповноваженому органу - 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 </w:t>
      </w:r>
      <w:r w:rsidDel="00000000" w:rsidR="00000000" w:rsidRPr="00000000">
        <w:rPr>
          <w:rFonts w:ascii="Times New Roman" w:cs="Times New Roman" w:eastAsia="Times New Roman" w:hAnsi="Times New Roman"/>
          <w:highlight w:val="white"/>
          <w:rtl w:val="0"/>
        </w:rPr>
        <w:t xml:space="preserve">пропозиції про </w:t>
      </w:r>
      <w:r w:rsidDel="00000000" w:rsidR="00000000" w:rsidRPr="00000000">
        <w:rPr>
          <w:rFonts w:ascii="Times New Roman" w:cs="Times New Roman" w:eastAsia="Times New Roman" w:hAnsi="Times New Roman"/>
          <w:rtl w:val="0"/>
        </w:rPr>
        <w:t xml:space="preserve">проведення дистанційного обстеження 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згідно з переліком, що додається.</w:t>
      </w:r>
    </w:p>
    <w:p w:rsidR="00000000" w:rsidDel="00000000" w:rsidP="00000000" w:rsidRDefault="00000000" w:rsidRPr="00000000" w14:paraId="0000001C">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Члену Комісії ____________ </w:t>
      </w:r>
      <w:r w:rsidDel="00000000" w:rsidR="00000000" w:rsidRPr="00000000">
        <w:rPr>
          <w:rFonts w:ascii="Times New Roman" w:cs="Times New Roman" w:eastAsia="Times New Roman" w:hAnsi="Times New Roman"/>
          <w:i w:val="1"/>
          <w:sz w:val="24"/>
          <w:szCs w:val="24"/>
          <w:highlight w:val="white"/>
          <w:rtl w:val="0"/>
        </w:rPr>
        <w:t xml:space="preserve">(ПІБ) </w:t>
      </w:r>
      <w:r w:rsidDel="00000000" w:rsidR="00000000" w:rsidRPr="00000000">
        <w:rPr>
          <w:rFonts w:ascii="Times New Roman" w:cs="Times New Roman" w:eastAsia="Times New Roman" w:hAnsi="Times New Roman"/>
          <w:highlight w:val="white"/>
          <w:rtl w:val="0"/>
        </w:rPr>
        <w:t xml:space="preserve">надати копію цього рішення на розгляд уповноваженого органу не пізніше 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строк для вчинення відповідних дій) </w:t>
      </w:r>
      <w:r w:rsidDel="00000000" w:rsidR="00000000" w:rsidRPr="00000000">
        <w:rPr>
          <w:rFonts w:ascii="Times New Roman" w:cs="Times New Roman" w:eastAsia="Times New Roman" w:hAnsi="Times New Roman"/>
          <w:highlight w:val="white"/>
          <w:rtl w:val="0"/>
        </w:rPr>
        <w:t xml:space="preserve"> дня з дати прийняття цього рішення.</w:t>
      </w:r>
    </w:p>
    <w:p w:rsidR="00000000" w:rsidDel="00000000" w:rsidP="00000000" w:rsidRDefault="00000000" w:rsidRPr="00000000" w14:paraId="0000001D">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Додаток:</w:t>
      </w:r>
      <w:r w:rsidDel="00000000" w:rsidR="00000000" w:rsidRPr="00000000">
        <w:rPr>
          <w:rtl w:val="0"/>
        </w:rPr>
      </w:r>
    </w:p>
    <w:p w:rsidR="00000000" w:rsidDel="00000000" w:rsidP="00000000" w:rsidRDefault="00000000" w:rsidRPr="00000000" w14:paraId="0000001E">
      <w:pPr>
        <w:numPr>
          <w:ilvl w:val="0"/>
          <w:numId w:val="1"/>
        </w:numPr>
        <w:spacing w:before="128" w:line="228" w:lineRule="auto"/>
        <w:ind w:left="720" w:right="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пропозиції про проведення дистанційного обстеження знищених об’єктів, які розташовані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w:t>
      </w:r>
      <w:r w:rsidDel="00000000" w:rsidR="00000000" w:rsidRPr="00000000">
        <w:rPr>
          <w:rFonts w:ascii="Times New Roman" w:cs="Times New Roman" w:eastAsia="Times New Roman" w:hAnsi="Times New Roman"/>
          <w:highlight w:val="white"/>
          <w:rtl w:val="0"/>
        </w:rPr>
        <w:t xml:space="preserve">на _____ арк.</w:t>
      </w:r>
    </w:p>
    <w:p w:rsidR="00000000" w:rsidDel="00000000" w:rsidP="00000000" w:rsidRDefault="00000000" w:rsidRPr="00000000" w14:paraId="0000001F">
      <w:pPr>
        <w:spacing w:before="128" w:line="228" w:lineRule="auto"/>
        <w:ind w:right="11"/>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0">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Голова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21">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Секретар Комісії</w:t>
        <w:tab/>
        <w:tab/>
        <w:tab/>
        <w:tab/>
        <w:tab/>
        <w:tab/>
        <w:t xml:space="preserve">                Ім'я ПРІЗВИЩЕ</w:t>
      </w:r>
      <w:r w:rsidDel="00000000" w:rsidR="00000000" w:rsidRPr="00000000">
        <w:rPr>
          <w:rtl w:val="0"/>
        </w:rPr>
      </w:r>
    </w:p>
    <w:p w:rsidR="00000000" w:rsidDel="00000000" w:rsidP="00000000" w:rsidRDefault="00000000" w:rsidRPr="00000000" w14:paraId="00000022">
      <w:pPr>
        <w:spacing w:before="128" w:line="228" w:lineRule="auto"/>
        <w:ind w:right="11"/>
        <w:rPr>
          <w:rFonts w:ascii="Times New Roman" w:cs="Times New Roman" w:eastAsia="Times New Roman" w:hAnsi="Times New Roman"/>
          <w:b w:val="1"/>
          <w:i w:val="1"/>
          <w:highlight w:val="white"/>
        </w:rPr>
      </w:pPr>
      <w:r w:rsidDel="00000000" w:rsidR="00000000" w:rsidRPr="00000000">
        <w:rPr>
          <w:rFonts w:ascii="Times New Roman" w:cs="Times New Roman" w:eastAsia="Times New Roman" w:hAnsi="Times New Roman"/>
          <w:highlight w:val="white"/>
          <w:rtl w:val="0"/>
        </w:rPr>
        <w:t xml:space="preserve">Члени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1416" w:firstLine="707.999999999999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до рішення Комісії № ___ від __._______.202_ року</w:t>
      </w:r>
    </w:p>
    <w:p w:rsidR="00000000" w:rsidDel="00000000" w:rsidP="00000000" w:rsidRDefault="00000000" w:rsidRPr="00000000" w14:paraId="00000041">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1416" w:firstLine="707.999999999999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ПРОПОЗИЦІЇ</w:t>
      </w:r>
    </w:p>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проведення дистанційного обстеження 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w:t>
      </w:r>
    </w:p>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tl w:val="0"/>
        </w:rPr>
      </w:r>
    </w:p>
    <w:tbl>
      <w:tblPr>
        <w:tblStyle w:val="Table1"/>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6"/>
        <w:gridCol w:w="2116"/>
        <w:gridCol w:w="1914"/>
        <w:gridCol w:w="2689"/>
        <w:gridCol w:w="2076"/>
        <w:tblGridChange w:id="0">
          <w:tblGrid>
            <w:gridCol w:w="776"/>
            <w:gridCol w:w="2116"/>
            <w:gridCol w:w="1914"/>
            <w:gridCol w:w="2689"/>
            <w:gridCol w:w="2076"/>
          </w:tblGrid>
        </w:tblGridChange>
      </w:tblGrid>
      <w:tr>
        <w:trPr>
          <w:cantSplit w:val="0"/>
          <w:tblHeader w:val="0"/>
        </w:trPr>
        <w:tc>
          <w:tcPr/>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п/п</w:t>
            </w:r>
          </w:p>
        </w:tc>
        <w:tc>
          <w:tcPr/>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інформаційного повідомлення</w:t>
            </w:r>
          </w:p>
        </w:tc>
        <w:tc>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та назва будівлі, споруди (тип та назва об’єкта нерухомого майна)</w:t>
            </w:r>
          </w:p>
        </w:tc>
        <w:tc>
          <w:tcPr/>
          <w:p w:rsidR="00000000" w:rsidDel="00000000" w:rsidP="00000000" w:rsidRDefault="00000000" w:rsidRPr="00000000" w14:paraId="00000049">
            <w:pPr>
              <w:jc w:val="center"/>
              <w:rPr>
                <w:rFonts w:ascii="Times New Roman" w:cs="Times New Roman" w:eastAsia="Times New Roman" w:hAnsi="Times New Roman"/>
              </w:rPr>
            </w:pPr>
            <w:bookmarkStart w:colFirst="0" w:colLast="0" w:name="_heading=h.nloem1v79w4c" w:id="0"/>
            <w:bookmarkEnd w:id="0"/>
            <w:r w:rsidDel="00000000" w:rsidR="00000000" w:rsidRPr="00000000">
              <w:rPr>
                <w:rFonts w:ascii="Times New Roman" w:cs="Times New Roman" w:eastAsia="Times New Roman" w:hAnsi="Times New Roman"/>
                <w:rtl w:val="0"/>
              </w:rPr>
              <w:t xml:space="preserve">Адреса (місцезнаходження) нерухомого майна згідно з інформаційним повідомленням</w:t>
            </w:r>
          </w:p>
        </w:tc>
        <w:tc>
          <w:tcPr/>
          <w:p w:rsidR="00000000" w:rsidDel="00000000" w:rsidP="00000000" w:rsidRDefault="00000000" w:rsidRPr="00000000" w14:paraId="000000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Пропонований вид обстеження</w:t>
            </w:r>
          </w:p>
        </w:tc>
      </w:tr>
      <w:tr>
        <w:trPr>
          <w:cantSplit w:val="0"/>
          <w:tblHeader w:val="0"/>
        </w:trPr>
        <w:tc>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 </w:t>
            </w:r>
          </w:p>
        </w:tc>
        <w:tc>
          <w:tcPr/>
          <w:p w:rsidR="00000000" w:rsidDel="00000000" w:rsidP="00000000" w:rsidRDefault="00000000" w:rsidRPr="00000000" w14:paraId="000000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Житловий будинок</w:t>
            </w:r>
          </w:p>
        </w:tc>
        <w:tc>
          <w:tcPr/>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Україна, 00000, Харківська область, Харківський район, селище Козача Лопань, вулиця Харківська, будинок 1</w:t>
            </w:r>
          </w:p>
        </w:tc>
        <w:tc>
          <w:tcPr/>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дистанційне </w:t>
            </w:r>
          </w:p>
        </w:tc>
      </w:tr>
      <w:tr>
        <w:trPr>
          <w:cantSplit w:val="0"/>
          <w:tblHeader w:val="0"/>
        </w:trPr>
        <w:tc>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Голова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76D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oNbo7ttwUX3DgoioYdahi/28A==">CgMxLjAyDmgubmxvZW0xdjc5dzRjOAByITE2cW1CU0c0R0dCM0hlRkZwcDc3ejFNVndWRmNXT0JkeQ==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2025-09-10T14:22:00Z</dcterms:created>
  <dc:creator>ІПГД</dc:creator>
</cp:coreProperties>
</file>