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right"/>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Проєкт документа</w:t>
      </w:r>
    </w:p>
    <w:p w:rsidR="00000000" w:rsidDel="00000000" w:rsidP="00000000" w:rsidRDefault="00000000" w:rsidRPr="00000000" w14:paraId="00000002">
      <w:pPr>
        <w:widowControl w:val="1"/>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03">
      <w:pPr>
        <w:widowControl w:val="1"/>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Бланк уповноваженого органу</w:t>
      </w:r>
    </w:p>
    <w:p w:rsidR="00000000" w:rsidDel="00000000" w:rsidP="00000000" w:rsidRDefault="00000000" w:rsidRPr="00000000" w14:paraId="00000004">
      <w:pPr>
        <w:spacing w:before="165" w:line="240" w:lineRule="auto"/>
        <w:ind w:left="43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Державна служба України з питань   геодезії, картографії та кадастру</w:t>
      </w:r>
    </w:p>
    <w:p w:rsidR="00000000" w:rsidDel="00000000" w:rsidP="00000000" w:rsidRDefault="00000000" w:rsidRPr="00000000" w14:paraId="00000005">
      <w:pPr>
        <w:spacing w:before="165"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ЗВЕРНЕННЯ</w:t>
      </w:r>
    </w:p>
    <w:p w:rsidR="00000000" w:rsidDel="00000000" w:rsidP="00000000" w:rsidRDefault="00000000" w:rsidRPr="00000000" w14:paraId="00000006">
      <w:pPr>
        <w:spacing w:before="165" w:line="240" w:lineRule="auto"/>
        <w:jc w:val="center"/>
        <w:rPr/>
      </w:pPr>
      <w:r w:rsidDel="00000000" w:rsidR="00000000" w:rsidRPr="00000000">
        <w:rPr>
          <w:rFonts w:ascii="Times New Roman" w:cs="Times New Roman" w:eastAsia="Times New Roman" w:hAnsi="Times New Roman"/>
          <w:b w:val="1"/>
          <w:rtl w:val="0"/>
        </w:rPr>
        <w:t xml:space="preserve">щодо надання інформаційних продуктів дистанційного зондування Землі щодо об’єкта (об'єктів) дистанційного обстеження</w:t>
      </w:r>
      <w:r w:rsidDel="00000000" w:rsidR="00000000" w:rsidRPr="00000000">
        <w:rPr>
          <w:rtl w:val="0"/>
        </w:rPr>
      </w:r>
    </w:p>
    <w:p w:rsidR="00000000" w:rsidDel="00000000" w:rsidP="00000000" w:rsidRDefault="00000000" w:rsidRPr="00000000" w14:paraId="00000007">
      <w:pPr>
        <w:spacing w:before="103" w:line="240" w:lineRule="auto"/>
        <w:jc w:val="both"/>
        <w:rPr/>
      </w:pPr>
      <w:r w:rsidDel="00000000" w:rsidR="00000000" w:rsidRPr="00000000">
        <w:rPr>
          <w:rtl w:val="0"/>
        </w:rPr>
      </w:r>
    </w:p>
    <w:p w:rsidR="00000000" w:rsidDel="00000000" w:rsidP="00000000" w:rsidRDefault="00000000" w:rsidRPr="00000000" w14:paraId="00000008">
      <w:pP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Відповідно до вимог </w:t>
      </w:r>
      <w:r w:rsidDel="00000000" w:rsidR="00000000" w:rsidRPr="00000000">
        <w:rPr>
          <w:rFonts w:ascii="Times New Roman" w:cs="Times New Roman" w:eastAsia="Times New Roman" w:hAnsi="Times New Roman"/>
          <w:rtl w:val="0"/>
        </w:rPr>
        <w:t xml:space="preserve">Особливостей проведення дистанційного обстеження знищених окремих категорій об’єктів нерухомого майна, які розташовані на територіях можливих бойових дій, для яких не визначена дата припинення можливості бойових дій, на територіях активних бойових дій, територіях активних бойових дій, на яких функціонують державні електронні інформаційні ресурси, для яких не визначена дата завершення бойових дій, затверджених постановою Кабінету Міністрів України від 7 липня 2025 р. № 815 (далі – Особливості), на підставі інформаційного повідомлення (інформаційних повідомлень)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 № ________________ від __ __ ______ року (</w:t>
      </w:r>
      <w:r w:rsidDel="00000000" w:rsidR="00000000" w:rsidRPr="00000000">
        <w:rPr>
          <w:rFonts w:ascii="Times New Roman" w:cs="Times New Roman" w:eastAsia="Times New Roman" w:hAnsi="Times New Roman"/>
          <w:i w:val="1"/>
          <w:sz w:val="24"/>
          <w:szCs w:val="24"/>
          <w:rtl w:val="0"/>
        </w:rPr>
        <w:t xml:space="preserve">зазначаються реквізити інформаційного повідомлення або групи інформаційних повідомлень</w:t>
      </w:r>
      <w:r w:rsidDel="00000000" w:rsidR="00000000" w:rsidRPr="00000000">
        <w:rPr>
          <w:rFonts w:ascii="Times New Roman" w:cs="Times New Roman" w:eastAsia="Times New Roman" w:hAnsi="Times New Roman"/>
          <w:rtl w:val="0"/>
        </w:rPr>
        <w:t xml:space="preserve">), в якому (яких) стан пошкодженого майна зазначений як “непридатно до експлуатації” або “знищено повністю” (далі – інформаційне повідомлення або інформаційні повідомлення), </w:t>
      </w:r>
      <w:r w:rsidDel="00000000" w:rsidR="00000000" w:rsidRPr="00000000">
        <w:rPr>
          <w:rFonts w:ascii="Times New Roman" w:cs="Times New Roman" w:eastAsia="Times New Roman" w:hAnsi="Times New Roman"/>
          <w:highlight w:val="white"/>
          <w:rtl w:val="0"/>
        </w:rPr>
        <w:t xml:space="preserve">Комісією______________________ </w:t>
      </w:r>
      <w:r w:rsidDel="00000000" w:rsidR="00000000" w:rsidRPr="00000000">
        <w:rPr>
          <w:rFonts w:ascii="Times New Roman" w:cs="Times New Roman" w:eastAsia="Times New Roman" w:hAnsi="Times New Roman"/>
          <w:i w:val="1"/>
          <w:sz w:val="24"/>
          <w:szCs w:val="24"/>
          <w:rtl w:val="0"/>
        </w:rPr>
        <w:t xml:space="preserve">(зазначається повна назва комісії з обстеження пошкоджених будівель і споруд, об’єктів незавершеного будівництва) </w:t>
      </w:r>
      <w:r w:rsidDel="00000000" w:rsidR="00000000" w:rsidRPr="00000000">
        <w:rPr>
          <w:rFonts w:ascii="Times New Roman" w:cs="Times New Roman" w:eastAsia="Times New Roman" w:hAnsi="Times New Roman"/>
          <w:rtl w:val="0"/>
        </w:rPr>
        <w:t xml:space="preserve">проводиться дистанційне обстеження об’єктів нерухомого майна, що розташовані за адресою: ____________________________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адреса/адреси </w:t>
      </w:r>
      <w:r w:rsidDel="00000000" w:rsidR="00000000" w:rsidRPr="00000000">
        <w:rPr>
          <w:rFonts w:ascii="Times New Roman" w:cs="Times New Roman" w:eastAsia="Times New Roman" w:hAnsi="Times New Roman"/>
          <w:i w:val="1"/>
          <w:sz w:val="24"/>
          <w:szCs w:val="24"/>
          <w:rtl w:val="0"/>
        </w:rPr>
        <w:t xml:space="preserve">(місцезнаходження) нерухомого майна вказана/вказані в інформаційному повідомленні/інформаційних повідомленнях</w:t>
      </w:r>
      <w:r w:rsidDel="00000000" w:rsidR="00000000" w:rsidRPr="00000000">
        <w:rPr>
          <w:rFonts w:ascii="Times New Roman" w:cs="Times New Roman" w:eastAsia="Times New Roman" w:hAnsi="Times New Roman"/>
          <w:i w:val="1"/>
          <w:sz w:val="24"/>
          <w:szCs w:val="24"/>
          <w:highlight w:val="white"/>
          <w:rtl w:val="0"/>
        </w:rPr>
        <w:t xml:space="preserve">).</w:t>
      </w:r>
      <w:r w:rsidDel="00000000" w:rsidR="00000000" w:rsidRPr="00000000">
        <w:rPr>
          <w:rtl w:val="0"/>
        </w:rPr>
      </w:r>
    </w:p>
    <w:p w:rsidR="00000000" w:rsidDel="00000000" w:rsidP="00000000" w:rsidRDefault="00000000" w:rsidRPr="00000000" w14:paraId="00000009">
      <w:pP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Згідно з підпунктом 3 пункту 6 Особливостей, одним з видів продуктів дистанційного спостереження визначено інформаційні продукти дистанційного зондування Землі, зокрема:</w:t>
      </w:r>
    </w:p>
    <w:p w:rsidR="00000000" w:rsidDel="00000000" w:rsidP="00000000" w:rsidRDefault="00000000" w:rsidRPr="00000000" w14:paraId="0000000A">
      <w:pP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матеріали і дані аерозйомки, космічної зйомки та метадані до них, представлені у вигляді візуальних зображень, у межах об’єкта зйомки з унікальною назвою в оригінальному вигляді без застосування стиснення файлів;</w:t>
      </w:r>
    </w:p>
    <w:p w:rsidR="00000000" w:rsidDel="00000000" w:rsidP="00000000" w:rsidRDefault="00000000" w:rsidRPr="00000000" w14:paraId="0000000B">
      <w:pP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оброблені оригінали матеріалів і даних аерозйомки, космічної зйомки та метадані до них, представлені у вигляді візуальних зображень, у межах об’єкта зйомки з унікальною назвою в оригінальному вигляді без застосування стиснення файлів, що представлені у вигляді візуальних зображень (далі - зображення об’єктів).</w:t>
      </w:r>
    </w:p>
    <w:p w:rsidR="00000000" w:rsidDel="00000000" w:rsidP="00000000" w:rsidRDefault="00000000" w:rsidRPr="00000000" w14:paraId="0000000C">
      <w:pP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Приписами абзацу сьомого пункту 6 Особливостей передбачено, що з метою підвищення точності та достовірності інтерпретації даних дистанційного обстеження та підвищення рівня обґрунтованості висновків, отриманих за результатами такого обстеження, використовуються всі наявні види продуктів дистанційного спостереження.</w:t>
      </w:r>
    </w:p>
    <w:p w:rsidR="00000000" w:rsidDel="00000000" w:rsidP="00000000" w:rsidRDefault="00000000" w:rsidRPr="00000000" w14:paraId="0000000D">
      <w:pP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Відповідно до пункту 11 Особливостей, у разі необхідності отримання інформаційних продуктів дистанційного зондування Землі щодо об’єкта, що обстежується, від Держгеокадастру та/або Міноборони відповідне звернення подається уповноваженим органом. Держгеокадастр, Міноборони у строк не більше одного місяця від дня надходження звернення від уповноваженого органу повідомляє уповноваженому органу про наявність/відсутність відомостей про об’єкт, що обстежується.</w:t>
      </w:r>
    </w:p>
    <w:p w:rsidR="00000000" w:rsidDel="00000000" w:rsidP="00000000" w:rsidRDefault="00000000" w:rsidRPr="00000000" w14:paraId="0000000E">
      <w:pP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Враховуючи потребу в отриманні інформаційних продуктів дистанційного зондування Землі щодо об’єкта (об’єктів) , що обстежується, керуючись пунктом 11 Особливостей,</w:t>
      </w:r>
    </w:p>
    <w:p w:rsidR="00000000" w:rsidDel="00000000" w:rsidP="00000000" w:rsidRDefault="00000000" w:rsidRPr="00000000" w14:paraId="0000000F">
      <w:pPr>
        <w:spacing w:before="103" w:line="240" w:lineRule="auto"/>
        <w:ind w:left="9" w:firstLine="577"/>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tab/>
        <w:tab/>
        <w:tab/>
        <w:tab/>
        <w:tab/>
      </w:r>
      <w:r w:rsidDel="00000000" w:rsidR="00000000" w:rsidRPr="00000000">
        <w:rPr>
          <w:rFonts w:ascii="Times New Roman" w:cs="Times New Roman" w:eastAsia="Times New Roman" w:hAnsi="Times New Roman"/>
          <w:b w:val="1"/>
          <w:rtl w:val="0"/>
        </w:rPr>
        <w:t xml:space="preserve">ПРОСИМО:</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03" w:line="240" w:lineRule="auto"/>
        <w:ind w:left="94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надати інформаційні продукти дистанційного зондування Землі щодо об’єктів нерухомого майна, згідно з переліком, що додається;</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94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разі наявності інформаційних продуктів дистанційного зондування Землі щодо об’єктів нерухомого майна, згідно з переліком, що додається, надати наявні інформаційні продукти дистанційного зондування Землі датовані до та після </w:t>
      </w: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орієнтованої дати та часу знищення об'єкта, що наведені в переліку;</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946" w:right="0" w:hanging="360"/>
        <w:jc w:val="both"/>
        <w:rPr>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у разі неможливості надання інформаційних продуктів дистанційного зондування Землі щодо об’єктів нерухомого майна, згідно з переліком, що додається, повідомити про відсутність таких продуктів дистанційного </w:t>
      </w:r>
      <w:r w:rsidDel="00000000" w:rsidR="00000000" w:rsidRPr="00000000">
        <w:rPr>
          <w:rFonts w:ascii="Times New Roman" w:cs="Times New Roman" w:eastAsia="Times New Roman" w:hAnsi="Times New Roman"/>
          <w:rtl w:val="0"/>
        </w:rPr>
        <w:t xml:space="preserve">спостереження та надати відомості з Державного земельного кадастру про координати поворотних точок меж земельних ділянок на яких розташовані об’єкти нерухомого майна, згідно з переліком, що додається.</w:t>
      </w:r>
      <w:r w:rsidDel="00000000" w:rsidR="00000000" w:rsidRPr="00000000">
        <w:rPr>
          <w:rtl w:val="0"/>
        </w:rPr>
      </w:r>
    </w:p>
    <w:p w:rsidR="00000000" w:rsidDel="00000000" w:rsidP="00000000" w:rsidRDefault="00000000" w:rsidRPr="00000000" w14:paraId="00000013">
      <w:pPr>
        <w:spacing w:before="128" w:line="228" w:lineRule="auto"/>
        <w:ind w:right="11"/>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Додаток:</w:t>
      </w:r>
      <w:r w:rsidDel="00000000" w:rsidR="00000000" w:rsidRPr="00000000">
        <w:rPr>
          <w:rtl w:val="0"/>
        </w:rPr>
      </w:r>
    </w:p>
    <w:p w:rsidR="00000000" w:rsidDel="00000000" w:rsidP="00000000" w:rsidRDefault="00000000" w:rsidRPr="00000000" w14:paraId="00000014">
      <w:pPr>
        <w:numPr>
          <w:ilvl w:val="0"/>
          <w:numId w:val="1"/>
        </w:numPr>
        <w:spacing w:before="128" w:line="228" w:lineRule="auto"/>
        <w:ind w:left="720" w:right="11"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Перелік </w:t>
      </w:r>
      <w:r w:rsidDel="00000000" w:rsidR="00000000" w:rsidRPr="00000000">
        <w:rPr>
          <w:rFonts w:ascii="Times New Roman" w:cs="Times New Roman" w:eastAsia="Times New Roman" w:hAnsi="Times New Roman"/>
          <w:rtl w:val="0"/>
        </w:rPr>
        <w:t xml:space="preserve">та відомості про об’єкти, які за попередньою інформацією є знищеними та розташовані  на територіях  можливих бойових дій, для яких не визначена дата припинення можливості бойових дій, на територіях активних бойових дій, активних бойових дій, на яких функціонують державні електронні інформаційні ресурси, включених до переліку територій, на яких ведуться (велися) бойові дії, для яких не визначена дата завершення бойових дій, щодо яких проводиться дистанційне обстеження,</w:t>
      </w:r>
      <w:r w:rsidDel="00000000" w:rsidR="00000000" w:rsidRPr="00000000">
        <w:rPr>
          <w:rFonts w:ascii="Times New Roman" w:cs="Times New Roman" w:eastAsia="Times New Roman" w:hAnsi="Times New Roman"/>
          <w:highlight w:val="white"/>
          <w:rtl w:val="0"/>
        </w:rPr>
        <w:t xml:space="preserve"> на _____ арк.</w:t>
      </w:r>
    </w:p>
    <w:p w:rsidR="00000000" w:rsidDel="00000000" w:rsidP="00000000" w:rsidRDefault="00000000" w:rsidRPr="00000000" w14:paraId="00000015">
      <w:pPr>
        <w:spacing w:before="128" w:line="228" w:lineRule="auto"/>
        <w:ind w:right="11"/>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6">
      <w:pPr>
        <w:spacing w:before="128" w:line="228" w:lineRule="auto"/>
        <w:ind w:right="11"/>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Керівник виконавчого органу/</w:t>
      </w:r>
    </w:p>
    <w:p w:rsidR="00000000" w:rsidDel="00000000" w:rsidP="00000000" w:rsidRDefault="00000000" w:rsidRPr="00000000" w14:paraId="00000017">
      <w:pPr>
        <w:spacing w:before="128" w:line="228" w:lineRule="auto"/>
        <w:ind w:right="11"/>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начальник військової адміністрації</w:t>
        <w:tab/>
        <w:tab/>
        <w:tab/>
        <w:tab/>
        <w:t xml:space="preserve">      Ім'я ПРІЗВИЩЕ</w:t>
      </w:r>
      <w:r w:rsidDel="00000000" w:rsidR="00000000" w:rsidRPr="00000000">
        <w:rPr>
          <w:rtl w:val="0"/>
        </w:rPr>
      </w:r>
    </w:p>
    <w:p w:rsidR="00000000" w:rsidDel="00000000" w:rsidP="00000000" w:rsidRDefault="00000000" w:rsidRPr="00000000" w14:paraId="00000018">
      <w:pPr>
        <w:spacing w:before="128" w:line="228" w:lineRule="auto"/>
        <w:ind w:right="1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ind w:left="1416" w:firstLine="707.999999999999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Додаток до звернення  № ___ від __._______.202_ року</w:t>
      </w:r>
    </w:p>
    <w:p w:rsidR="00000000" w:rsidDel="00000000" w:rsidP="00000000" w:rsidRDefault="00000000" w:rsidRPr="00000000" w14:paraId="0000001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rPr>
      </w:pPr>
      <w:bookmarkStart w:colFirst="0" w:colLast="0" w:name="_heading=h.wv1cc6ry64w" w:id="0"/>
      <w:bookmarkEnd w:id="0"/>
      <w:r w:rsidDel="00000000" w:rsidR="00000000" w:rsidRPr="00000000">
        <w:rPr>
          <w:rFonts w:ascii="Times New Roman" w:cs="Times New Roman" w:eastAsia="Times New Roman" w:hAnsi="Times New Roman"/>
          <w:rtl w:val="0"/>
        </w:rPr>
        <w:t xml:space="preserve">ПЕРЕЛІК ТА ВІДОМОСТІ</w:t>
      </w:r>
    </w:p>
    <w:p w:rsidR="00000000" w:rsidDel="00000000" w:rsidP="00000000" w:rsidRDefault="00000000" w:rsidRPr="00000000" w14:paraId="0000001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 об’єкти, які за попередньою інформацією є знищеними та розташовані  на територіях  можливих бойових дій, для яких не визначена дата припинення можливості бойових дій, на територіях активних бойових дій, активних бойових дій, на яких функціонують державні електронні інформаційні ресурси, включених до переліку територій, на яких ведуться (велися) бойові дії, для яких не визначена дата завершення бойових дій, щодо яких проводиться дистанційне обстеження</w:t>
      </w:r>
    </w:p>
    <w:tbl>
      <w:tblPr>
        <w:tblStyle w:val="Table1"/>
        <w:tblW w:w="10950.0" w:type="dxa"/>
        <w:jc w:val="left"/>
        <w:tblInd w:w="-12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5"/>
        <w:gridCol w:w="1785"/>
        <w:gridCol w:w="1380"/>
        <w:gridCol w:w="2325"/>
        <w:gridCol w:w="2865"/>
        <w:gridCol w:w="2010"/>
        <w:tblGridChange w:id="0">
          <w:tblGrid>
            <w:gridCol w:w="585"/>
            <w:gridCol w:w="1785"/>
            <w:gridCol w:w="1380"/>
            <w:gridCol w:w="2325"/>
            <w:gridCol w:w="2865"/>
            <w:gridCol w:w="2010"/>
          </w:tblGrid>
        </w:tblGridChange>
      </w:tblGrid>
      <w:tr>
        <w:trPr>
          <w:cantSplit w:val="0"/>
          <w:tblHeader w:val="0"/>
        </w:trPr>
        <w:tc>
          <w:tcPr/>
          <w:p w:rsidR="00000000" w:rsidDel="00000000" w:rsidP="00000000" w:rsidRDefault="00000000" w:rsidRPr="00000000" w14:paraId="0000001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за п/п</w:t>
            </w:r>
          </w:p>
        </w:tc>
        <w:tc>
          <w:tcPr/>
          <w:p w:rsidR="00000000" w:rsidDel="00000000" w:rsidP="00000000" w:rsidRDefault="00000000" w:rsidRPr="00000000" w14:paraId="0000001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Реквізити інформаційного повідомлення</w:t>
            </w:r>
          </w:p>
        </w:tc>
        <w:tc>
          <w:tcPr/>
          <w:p w:rsidR="00000000" w:rsidDel="00000000" w:rsidP="00000000" w:rsidRDefault="00000000" w:rsidRPr="00000000" w14:paraId="0000001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Тип та назва об’єкта нерухомого майна</w:t>
            </w:r>
          </w:p>
        </w:tc>
        <w:tc>
          <w:tcPr/>
          <w:p w:rsidR="00000000" w:rsidDel="00000000" w:rsidP="00000000" w:rsidRDefault="00000000" w:rsidRPr="00000000" w14:paraId="0000002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Адреса (місцезнаходження) нерухомого майна </w:t>
            </w:r>
          </w:p>
        </w:tc>
        <w:tc>
          <w:tcPr/>
          <w:p w:rsidR="00000000" w:rsidDel="00000000" w:rsidP="00000000" w:rsidRDefault="00000000" w:rsidRPr="00000000" w14:paraId="0000002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Кадастровий номер земельної ділянки на якій розташований об’єкт нерухомого майна</w:t>
            </w:r>
          </w:p>
        </w:tc>
        <w:tc>
          <w:tcPr/>
          <w:p w:rsidR="00000000" w:rsidDel="00000000" w:rsidP="00000000" w:rsidRDefault="00000000" w:rsidRPr="00000000" w14:paraId="0000002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Відомості про дату та орієнтовний час знищення об'єкта</w:t>
            </w:r>
          </w:p>
        </w:tc>
      </w:tr>
      <w:tr>
        <w:trPr>
          <w:cantSplit w:val="0"/>
          <w:tblHeader w:val="0"/>
        </w:trPr>
        <w:tc>
          <w:tcPr/>
          <w:p w:rsidR="00000000" w:rsidDel="00000000" w:rsidP="00000000" w:rsidRDefault="00000000" w:rsidRPr="00000000" w14:paraId="0000002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p w:rsidR="00000000" w:rsidDel="00000000" w:rsidP="00000000" w:rsidRDefault="00000000" w:rsidRPr="00000000" w14:paraId="0000002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Житловий будинок</w:t>
            </w:r>
          </w:p>
        </w:tc>
        <w:tc>
          <w:tcPr/>
          <w:p w:rsidR="00000000" w:rsidDel="00000000" w:rsidP="00000000" w:rsidRDefault="00000000" w:rsidRPr="00000000" w14:paraId="0000002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Україна, 00000, Харківська область, Харківський район, селище Козача Лопань, вулиця Харківська, будинок 1</w:t>
            </w:r>
          </w:p>
        </w:tc>
        <w:tc>
          <w:tcPr/>
          <w:p w:rsidR="00000000" w:rsidDel="00000000" w:rsidP="00000000" w:rsidRDefault="00000000" w:rsidRPr="00000000" w14:paraId="0000002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0000000000:00:000:0000</w:t>
            </w:r>
          </w:p>
        </w:tc>
        <w:tc>
          <w:tcPr/>
          <w:p w:rsidR="00000000" w:rsidDel="00000000" w:rsidP="00000000" w:rsidRDefault="00000000" w:rsidRPr="00000000" w14:paraId="0000002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 січня 2024 року, 15 година 43 хвилини</w:t>
            </w:r>
          </w:p>
        </w:tc>
      </w:tr>
    </w:tbl>
    <w:p w:rsidR="00000000" w:rsidDel="00000000" w:rsidP="00000000" w:rsidRDefault="00000000" w:rsidRPr="00000000" w14:paraId="00000029">
      <w:pPr>
        <w:spacing w:before="128" w:line="228" w:lineRule="auto"/>
        <w:ind w:right="11"/>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A">
      <w:pPr>
        <w:spacing w:before="128" w:line="228" w:lineRule="auto"/>
        <w:ind w:right="11"/>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Керівник виконавчого органу/</w:t>
      </w:r>
    </w:p>
    <w:p w:rsidR="00000000" w:rsidDel="00000000" w:rsidP="00000000" w:rsidRDefault="00000000" w:rsidRPr="00000000" w14:paraId="0000002B">
      <w:pPr>
        <w:spacing w:before="128" w:line="228" w:lineRule="auto"/>
        <w:ind w:right="11"/>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начальник військової адміністрації</w:t>
        <w:tab/>
        <w:tab/>
        <w:tab/>
        <w:tab/>
        <w:t xml:space="preserve">      Ім'я ПРІЗВИЩЕ</w:t>
      </w: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DengXi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946" w:hanging="360"/>
      </w:pPr>
      <w:rPr>
        <w:rFonts w:ascii="Times New Roman" w:cs="Times New Roman" w:eastAsia="Times New Roman" w:hAnsi="Times New Roman"/>
      </w:rPr>
    </w:lvl>
    <w:lvl w:ilvl="1">
      <w:start w:val="1"/>
      <w:numFmt w:val="bullet"/>
      <w:lvlText w:val="o"/>
      <w:lvlJc w:val="left"/>
      <w:pPr>
        <w:ind w:left="1666" w:hanging="360"/>
      </w:pPr>
      <w:rPr>
        <w:rFonts w:ascii="Courier New" w:cs="Courier New" w:eastAsia="Courier New" w:hAnsi="Courier New"/>
      </w:rPr>
    </w:lvl>
    <w:lvl w:ilvl="2">
      <w:start w:val="1"/>
      <w:numFmt w:val="bullet"/>
      <w:lvlText w:val="▪"/>
      <w:lvlJc w:val="left"/>
      <w:pPr>
        <w:ind w:left="2386" w:hanging="360"/>
      </w:pPr>
      <w:rPr>
        <w:rFonts w:ascii="Noto Sans Symbols" w:cs="Noto Sans Symbols" w:eastAsia="Noto Sans Symbols" w:hAnsi="Noto Sans Symbols"/>
      </w:rPr>
    </w:lvl>
    <w:lvl w:ilvl="3">
      <w:start w:val="1"/>
      <w:numFmt w:val="bullet"/>
      <w:lvlText w:val="●"/>
      <w:lvlJc w:val="left"/>
      <w:pPr>
        <w:ind w:left="3106" w:hanging="360"/>
      </w:pPr>
      <w:rPr>
        <w:rFonts w:ascii="Noto Sans Symbols" w:cs="Noto Sans Symbols" w:eastAsia="Noto Sans Symbols" w:hAnsi="Noto Sans Symbols"/>
      </w:rPr>
    </w:lvl>
    <w:lvl w:ilvl="4">
      <w:start w:val="1"/>
      <w:numFmt w:val="bullet"/>
      <w:lvlText w:val="o"/>
      <w:lvlJc w:val="left"/>
      <w:pPr>
        <w:ind w:left="3826" w:hanging="360"/>
      </w:pPr>
      <w:rPr>
        <w:rFonts w:ascii="Courier New" w:cs="Courier New" w:eastAsia="Courier New" w:hAnsi="Courier New"/>
      </w:rPr>
    </w:lvl>
    <w:lvl w:ilvl="5">
      <w:start w:val="1"/>
      <w:numFmt w:val="bullet"/>
      <w:lvlText w:val="▪"/>
      <w:lvlJc w:val="left"/>
      <w:pPr>
        <w:ind w:left="4546" w:hanging="360"/>
      </w:pPr>
      <w:rPr>
        <w:rFonts w:ascii="Noto Sans Symbols" w:cs="Noto Sans Symbols" w:eastAsia="Noto Sans Symbols" w:hAnsi="Noto Sans Symbols"/>
      </w:rPr>
    </w:lvl>
    <w:lvl w:ilvl="6">
      <w:start w:val="1"/>
      <w:numFmt w:val="bullet"/>
      <w:lvlText w:val="●"/>
      <w:lvlJc w:val="left"/>
      <w:pPr>
        <w:ind w:left="5266" w:hanging="360"/>
      </w:pPr>
      <w:rPr>
        <w:rFonts w:ascii="Noto Sans Symbols" w:cs="Noto Sans Symbols" w:eastAsia="Noto Sans Symbols" w:hAnsi="Noto Sans Symbols"/>
      </w:rPr>
    </w:lvl>
    <w:lvl w:ilvl="7">
      <w:start w:val="1"/>
      <w:numFmt w:val="bullet"/>
      <w:lvlText w:val="o"/>
      <w:lvlJc w:val="left"/>
      <w:pPr>
        <w:ind w:left="5986" w:hanging="360"/>
      </w:pPr>
      <w:rPr>
        <w:rFonts w:ascii="Courier New" w:cs="Courier New" w:eastAsia="Courier New" w:hAnsi="Courier New"/>
      </w:rPr>
    </w:lvl>
    <w:lvl w:ilvl="8">
      <w:start w:val="1"/>
      <w:numFmt w:val="bullet"/>
      <w:lvlText w:val="▪"/>
      <w:lvlJc w:val="left"/>
      <w:pPr>
        <w:ind w:left="6706"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DengXian" w:cs="DengXian" w:eastAsia="DengXian" w:hAnsi="DengXian"/>
        <w:sz w:val="28"/>
        <w:szCs w:val="28"/>
        <w:lang w:val="uk"/>
      </w:rPr>
    </w:rPrDefault>
    <w:pPrDefault>
      <w:pPr>
        <w:widowControl w:val="0"/>
        <w:spacing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734C2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List Paragraph"/>
    <w:basedOn w:val="a"/>
    <w:uiPriority w:val="34"/>
    <w:qFormat w:val="1"/>
    <w:rsid w:val="00734C25"/>
    <w:pPr>
      <w:ind w:left="720"/>
      <w:contextualSpacing w:val="1"/>
    </w:pPr>
    <w:rPr>
      <w:rFonts w:cs="Mangal"/>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p0DXBAg1qaQrjFFRIcQza1jRFw==">CgMxLjAyDWgud3YxY2M2cnk2NHc4AHIhMTR4LVV2QnBCckRra0F5U3Bkd0wtaVBwYmFyZVBVSVoz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2025-09-10T14:42:00Z</dcterms:created>
  <dc:creator>ІПГД</dc:creator>
</cp:coreProperties>
</file>