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4395" w:firstLine="1417"/>
        <w:outlineLv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ЗАТВЕРДЖЕНО</w:t>
        <w:br/>
        <w:t xml:space="preserve">Протокольним рішенням Правління Всеукраїнської асоціації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4395" w:hanging="0"/>
        <w:outlineLv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органів місцевого самоврядування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4395" w:hanging="0"/>
        <w:outlineLvl w:val="0"/>
        <w:rPr>
          <w:rFonts w:ascii="Times New Roman" w:hAnsi="Times New Roman" w:eastAsia="Times New Roman" w:cs="Times New Roman"/>
          <w:color w:val="000000" w:themeColor="text1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«Асоціація об’єднаних територіальних громад»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4395" w:hanging="0"/>
        <w:outlineLv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від 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ru-RU" w:eastAsia="ru-RU"/>
        </w:rPr>
        <w:t>_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серпня 202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ru-RU" w:eastAsia="ru-RU"/>
        </w:rPr>
        <w:t>5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року б/н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color w:val="000000" w:themeColor="text1"/>
          <w:kern w:val="2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kern w:val="2"/>
          <w:sz w:val="28"/>
          <w:szCs w:val="28"/>
          <w:lang w:eastAsia="uk-UA"/>
        </w:rPr>
        <w:t>Форма заявки на участь у Конкурсі «Успішні разом!» - 202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kern w:val="2"/>
          <w:sz w:val="28"/>
          <w:szCs w:val="28"/>
          <w:lang w:val="ru-RU" w:eastAsia="uk-UA"/>
        </w:rPr>
        <w:t>5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kern w:val="2"/>
          <w:sz w:val="28"/>
          <w:szCs w:val="28"/>
          <w:lang w:eastAsia="uk-UA"/>
        </w:rPr>
        <w:t xml:space="preserve"> рік»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1. Загальні відомості про громаду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1.1. Назва громади: __________________________________________________________</w:t>
        <w:br/>
        <w:t>1.2. Адреса: ________________________________________________________________</w:t>
        <w:br/>
        <w:t>1.3. Телефон: ______________________</w:t>
        <w:br/>
        <w:t>1.4. Електронна пошта: ______________________</w:t>
        <w:br/>
        <w:t>1.5. Веб-сайт (за наявності): 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2. Контактна особа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2.1. ПІБ: __________________________________________________________________</w:t>
        <w:br/>
        <w:t>2.2. Посада: _______________________________________________________________</w:t>
        <w:br/>
        <w:t>2.3. Телефон: ______________________</w:t>
        <w:br/>
        <w:t>2.4. Електронна пошта: 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 Номінація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3.1.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Оберіть номінацію (поставте позначку √):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Успішна громада;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Лідер в сфері безпеки громади;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Лідер в освітній галузі;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Безбар’єрна громада;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Згуртована та здорова громада;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Гармонійна громада;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Енергонезалежна громада;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ru-RU"/>
        </w:rPr>
        <w:t>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ідер в сфері культури;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Вагомий внесок у перемогу;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1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Вироблено в громаді</w: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uk-UA"/>
        </w:rPr>
        <w:t>. Подайте заявку в розрізі номінацій (</w:t>
      </w:r>
      <w:bookmarkStart w:id="0" w:name="_Hlk179247684"/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uk-UA"/>
        </w:rPr>
        <w:t>кожна громада може взяти участь одночасно в кількох номінаціях</w:t>
      </w:r>
      <w:bookmarkEnd w:id="0"/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uk-UA"/>
        </w:rPr>
        <w:t>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3.2.1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Номінації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«Успішна громада» та «Гармонійна громада»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не потребують заповнення заявки, переможці визначаються членами Конкурсної комісії шляхом голосування.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3.2.2. Заявка для номінації «Лідер в сфері безпеки громади»</w:t>
      </w:r>
    </w:p>
    <w:tbl>
      <w:tblPr>
        <w:tblStyle w:val="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914"/>
        <w:gridCol w:w="3687"/>
        <w:gridCol w:w="1127"/>
      </w:tblGrid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Реалізація безпекових ініціатив: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Описання та впровадження проєктів, спрямованих на підвищення рівня безпеки в громаді, таких як створення систем відеоспостереження, навчання населення основам безпеки, програми з протипожежної безпеки тощо.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Інфраструктура безпеки: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Наявність і ефективність функціонування інфраструктури безпеки, включаючи Центри безпеки, пожежні станції (депо), поліцейські пункти для поліцейських офіцерів громади, системи оповіщення, безпечні шкільні маршрути.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Співпраця з ДСНС, МВС та іншими органами: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Активна взаємодія з Державною службою України з надзвичайних ситуацій (ДСНС), МВС та іншими органами для забезпечення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захисту громадян (у тому числі спільні реалізовані проєкти, ініціативи тощо).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Інноваційні рішення в галузі безпеки: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Використання новітніх технологій та інноваційних підходів для забезпечення безпеки громади, наприклад, впровадження смарт-технологій, розробка  та впровадження мобільних додатків для оповіщення та координації дій під час кризових ситуацій.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Розробка та впровадження нормативних актів: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Наявність локальних нормативно-правових актів, які регулюють безпекові питання в громаді, таких як правила цивільного захисту, порядок евакуації, регламенти співпраці з екстреними службами тощо.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3.2.3 Заявка для номінації «Лідер в освітній галузі»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914"/>
        <w:gridCol w:w="3687"/>
        <w:gridCol w:w="1127"/>
      </w:tblGrid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Який відсоток закладів освіти громади працюють в очному або змішаному форматі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(ЗЗСО + ЗДО)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Кількість закладів освіти громади облаштованих укриттями/загальна кількість 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851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 xml:space="preserve">Чи всі здобувачі освіти, серед представників пільгових категорій, забезпечені безкоштовним гарячим харчуванням </w:t>
            </w: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(%). Якщо ні, з якої причини.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168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6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Який відсоток кабінетного фонду початкової школи забезпечені повним комплектом техніки для вчителя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(інтерактивна дошка, ноутбук, принтер або МФУ),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яка частка кабінетного фонду ЗЗСО облаштовані інтерактивними дошками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507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Безпечна дорога до закладів освіти.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Наявність в громаді безпечної дороги до закладів освіти (наявність тротуарів, пішоходних переходів, світлофорів, а також шкільного автобуса для підвезення учнів до закладів освіти (з урахуванням безпечних маршрутів, належного технічного стану транспорту та супроводу під час перевезень; наявність облаштованих місць посадки та висадки дітей біля закладів освіти (наявність зупинок, майданчиків для розвороту, освітлення та дорожніх знаків) та наявність організованих маршрутів підвезення та затверджених графіків руху  з урахуванням часу навчання, потреб учнів і безпечного часу очікування).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3.2.4 Питання для номінації «Безбар’єрна громада»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914"/>
        <w:gridCol w:w="3687"/>
        <w:gridCol w:w="1127"/>
      </w:tblGrid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Чи прийнято рішення про комплексний підхід для забезпечення інклюзивності в громаді? </w:t>
            </w:r>
          </w:p>
          <w:p>
            <w:pPr>
              <w:pStyle w:val="Normal"/>
              <w:spacing w:lineRule="atLeast" w:line="300" w:before="0" w:after="120"/>
              <w:ind w:right="-106" w:hanging="0"/>
              <w:contextualSpacing/>
              <w:jc w:val="both"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Як це може бути підтверджено: Відповідне рішення зафіксовано: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у Стратегії розвитку громади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у програмі соціально-економічного розвитку громади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в окремо затвердженій політиці громади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Серед керівництва громади є особа, за якою закріплено відповідальність за втілення комплексного підходу у всій діяльності і заходах для забезпечення рівних прав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 xml:space="preserve">Як це може бути підтверджено: 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призначено уповноважену особу (координатора/-ку) з питань забезпечення рівних прав та можливостей всіх категорій населення громади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На території громади створений ветеранський ХАБ або простір, працює реабілітаційний центр або організована робота з жителями громади з інвалідністю та з іншими соціально вразливими групами.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Компетентність і спроможність ОМС ефективно втілювати комплексний гендерний підхід забезпечується належним чином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 xml:space="preserve">Як це може бути підтверджено: 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представництво ОМС проходить навчання з гендерних питань не рідше 1 разу на 5 років та застосовує отримані знання на практиці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Наявні результати комплексного підходу до забезпечення інклюзії, а також перспективи забезпечення рівності очевидні у цілях, бюджетах, і інших регулюючих документах 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Як це може бути підтверджено: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у цільових програмах розвитку громади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у паспортах бюджетних програм місцевого бюджету та відповідних звітах 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- у планах щодо забезпечення інклюзивності у громаді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3.2.5 Заявка для номінації «Згуртована та здорова громада»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914"/>
        <w:gridCol w:w="3687"/>
        <w:gridCol w:w="1127"/>
      </w:tblGrid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Чи доступні первинні медичні послуги в межах 30 хвилин пішої доступності для всіх жителів громади?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Чи забезпечений у вашій громаді доступ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(територіальний, фінансовий - логістика та маршрути)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до спеціалізованої медичної допомоги амбулаторного рівня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(наприклад, консультації, діагностика, лабораторні аналізи: кардіологія, неврологія, онкологія, ендокринологія, педіатрія, гінекологія, психологічна підтримка, перинатальна та неонатальна допомога)?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Чи забезпечений доступ до невідкладної та екстреної медичної допомоги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 xml:space="preserve">(у встановлені законодавством терміни) 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вчасно  і цілодобово?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Чи є ініціативи та розроблені програми з просування здорового та активного способу життя?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Чи доступні для всіх жителів парки, спортивні споруди та рекреаційні зони?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Кількість спортивних клубів по видам спорту. Кількість проведених спортивно-масових заходів в 2025 році.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412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Чи існує в громаді розроблена та затверджена Стратегія здоров’я громади на 5 років і більше?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Чи є на сайті громади та/або доступна через інші канали комунікації інформація про доступні медичні послуги та місця їх отримання?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3.2.7 Заявка для номінації «Енергонезалежна громада»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0"/>
        <w:gridCol w:w="3920"/>
        <w:gridCol w:w="3695"/>
        <w:gridCol w:w="1119"/>
      </w:tblGrid>
      <w:tr>
        <w:trPr/>
        <w:tc>
          <w:tcPr>
            <w:tcW w:w="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Інформація про виконання </w:t>
            </w:r>
          </w:p>
        </w:tc>
        <w:tc>
          <w:tcPr>
            <w:tcW w:w="1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20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Впровадження альтернативних джерел енергії: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Використання відновлювальних джерел енергії, таких як сонячна енергія, вітрові установки, біомаса тощо, для забезпечення енергетичної незалежності громади; частка ВДЕ у структурі енергоспоживання громади (%), здатність громади забезпечувати критичну інфраструктуру у кризових ситуаціях</w:t>
            </w:r>
          </w:p>
        </w:tc>
        <w:tc>
          <w:tcPr>
            <w:tcW w:w="3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20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Енергоефективність будівель та інфраструктури: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Проєкти, спрямовані на підвищення енергоефективності громадських будівель, житлових будинків та інфраструктурних об'єктів, включаючи модернізацію систем опалення, вентиляції, освітлення; кількість комунальних об’єктів, що частково чи повністю переведені на ВДЕ</w:t>
            </w:r>
          </w:p>
        </w:tc>
        <w:tc>
          <w:tcPr>
            <w:tcW w:w="3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20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 xml:space="preserve">Скорочення споживання енергії: </w:t>
            </w: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Розроблені та прийняті програми енергозбереження, муніципальні енергетичні плани, в тому числі результати ініціатив, спрямованих на зниження енергоспоживання громади в цілому, включаючи освітні кампанії та</w:t>
            </w: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програми енергозбереження.</w:t>
            </w:r>
          </w:p>
        </w:tc>
        <w:tc>
          <w:tcPr>
            <w:tcW w:w="3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20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Інвестиції в енергетичні проєкти: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Залучення інвестицій та фінансування для реалізації енергетичних проєктів, які сприяли  незалежності громади від зовнішніх постачальників енергії.</w:t>
            </w:r>
          </w:p>
        </w:tc>
        <w:tc>
          <w:tcPr>
            <w:tcW w:w="3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20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Комплексний енергетичний менеджмент: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Запровадження в громаді системи енергетичного менеджменту, що включає моніторинг споживання енергії, оптимізацію витрат та планування заходів з підвищення енергоефективності на рівні громади. У тому числі наявність фахівця на посаді енергоменеджер. 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Залучення мешканців до програм енергоефективності (наприклад, ОСББ-проекти);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- інформаційні кампанії, навчання, еко-освіта;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- відкритість даних про споживання енергії та досягнуті результати.</w:t>
            </w:r>
          </w:p>
        </w:tc>
        <w:tc>
          <w:tcPr>
            <w:tcW w:w="3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3.2.8. Заявка для номінації «Лідер в сфері культури»</w:t>
      </w:r>
    </w:p>
    <w:tbl>
      <w:tblPr>
        <w:tblStyle w:val="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914"/>
        <w:gridCol w:w="3687"/>
        <w:gridCol w:w="1127"/>
      </w:tblGrid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bookmarkStart w:id="1" w:name="docs-internal-guid-df38799b-7fff-45a8-07"/>
            <w:bookmarkEnd w:id="1"/>
            <w:r>
              <w:rPr>
                <w:rFonts w:eastAsia="Calibri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Чи має громада затверджену стратегію або програму розвитку культури?Оцінюється:</w:t>
            </w:r>
            <w:r>
              <w:rPr>
                <w:rFonts w:eastAsia="Calibri" w:cs="Times New Roman" w:ascii="Times New Roman" w:hAnsi="Times New Roman"/>
                <w:b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наявність у громади офіційного документа, який визначає цілі, пріоритети та заходи для розвитку культури в громаді.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bookmarkStart w:id="2" w:name="docs-internal-guid-5fb699c0-7fff-7120-ae"/>
            <w:bookmarkEnd w:id="2"/>
            <w:r>
              <w:rPr>
                <w:rFonts w:eastAsia="Calibri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Чи проводила громада культурні заходи або ініціативи протягом року, які об’єднують або підтримують значну частину жителів громади?Оцінюється:</w:t>
            </w:r>
            <w:r>
              <w:rPr>
                <w:rFonts w:eastAsia="Calibri" w:cs="Times New Roman" w:ascii="Times New Roman" w:hAnsi="Times New Roman"/>
                <w:b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кількість та масштаб заходів або ініціатив, які залучають або підтримують значну частину громади, а також різноманітність форматів (онлайн, офлайн, тематичні, волонтерські тощо)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/>
                <w:i/>
                <w:iCs/>
                <w:color w:val="000000" w:themeColor="text1"/>
                <w:sz w:val="28"/>
                <w:szCs w:val="28"/>
              </w:rPr>
            </w:pPr>
            <w:bookmarkStart w:id="3" w:name="docs-internal-guid-ab0dc023-7fff-b667-77"/>
            <w:bookmarkEnd w:id="3"/>
            <w:r>
              <w:rPr>
                <w:rFonts w:eastAsia="Calibri" w:cs="Times New Roman" w:ascii="Times New Roman" w:hAnsi="Times New Roman"/>
                <w:b/>
                <w:i w:val="false"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Чи створено або модернізовано культурні об’єкти у громаді протягом останніх 2 років та чи забезпечено їх доступність для всіх категорій населення?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 w:val="false"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Оцінюється:</w:t>
            </w:r>
            <w:r>
              <w:rPr>
                <w:rFonts w:eastAsia="Calibri" w:cs="Times New Roman" w:ascii="Times New Roman" w:hAnsi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кількість та якість створених або модернізованих культурних об’єктів (будинки культури, бібліотеки, музеї тощо) та рівень їхньої доступності для всіх груп населенн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bookmarkStart w:id="4" w:name="docs-internal-guid-8fa484f9-7fff-e56f-30"/>
            <w:bookmarkEnd w:id="4"/>
            <w:r>
              <w:rPr>
                <w:rFonts w:eastAsia="Calibri"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Чи реалізувала громада проєкти зі збереження та популяризації культурної спадщини?</w:t>
            </w:r>
          </w:p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Оцінюється:</w:t>
            </w:r>
            <w:r>
              <w:rPr>
                <w:rFonts w:eastAsia="Calibri" w:cs="Times New Roman" w:ascii="Times New Roman" w:hAnsi="Times New Roman"/>
                <w:b w:val="false"/>
                <w:b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кількість та значущість проєктів, спрямованих на збереження культурної спадщини, традицій та локальних культурних цінностей.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000000" w:themeColor="text1"/>
                <w:sz w:val="28"/>
                <w:szCs w:val="28"/>
              </w:rPr>
            </w:pPr>
            <w:bookmarkStart w:id="5" w:name="docs-internal-guid-978412bf-7fff-059e-17"/>
            <w:bookmarkEnd w:id="5"/>
            <w:r>
              <w:rPr>
                <w:rFonts w:eastAsia="Calibri" w:cs="Times New Roman" w:ascii="Times New Roman" w:hAnsi="Times New Roman"/>
                <w:b/>
                <w:i w:val="false"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Чи організовано партнерства з іншими організаціями для реалізації культурних проєктів у громаді?</w:t>
            </w:r>
          </w:p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 w:val="false"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Оцінюється:</w:t>
            </w:r>
            <w:r>
              <w:rPr>
                <w:rFonts w:eastAsia="Calibri" w:cs="Times New Roman" w:ascii="Times New Roman" w:hAnsi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 w:themeColor="text1"/>
                <w:sz w:val="28"/>
                <w:szCs w:val="28"/>
                <w:u w:val="none"/>
                <w:effect w:val="none"/>
              </w:rPr>
              <w:t>кількість та якість партнерств (з бізнесом, громадськими організаціями, міжнародними фондами), а також їхній внесок у розвиток культурних ініціатив громади.</w:t>
            </w: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3.2.9 Заявка для номінації «Вагомий внесок у перемогу»</w:t>
      </w:r>
    </w:p>
    <w:tbl>
      <w:tblPr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774"/>
        <w:gridCol w:w="3827"/>
        <w:gridCol w:w="1127"/>
      </w:tblGrid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>
          <w:trHeight w:val="280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Фінансова складова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Оцінюється фінансовий внесок громади у перемогу.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Чи були прийнятті рішення місцевої ради про спрямування коштів з місцевого бюджету на потреби ЗСУ та інших військових формувань?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Матеріальна допомога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Важливою складовою є допомога військовим підрозділам. Варто врахувати, чи громада закуповувала дрони, техніку, автомобілі, медикаменти </w:t>
            </w:r>
            <w:bookmarkStart w:id="6" w:name="_GoBack"/>
            <w:bookmarkEnd w:id="6"/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 xml:space="preserve">чи інше військове оснащення (без деталізації).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Інвестиційна складова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Використання громадами такого інвестиційного інструменту як військові облігації, які випускаються під час війни для підтримки економіки. Головна особливість цих облігацій в їхньому цільовому призначенні — підтримка обороноздатності та функціонування держави в умовах війни.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08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sz w:val="28"/>
                <w:szCs w:val="28"/>
              </w:rPr>
              <w:t>Заохочення до мобілізації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Серед найбільшої мотивації громадян стосовно  готовності до мобілізації – бажання захистити Україну та рідних і помста російським агресорам. Водночас громади по-різному сприяють та заохочують своїх мешканців до мобілізації. Є громади, які в місцевому бюджеті перебачили відповідні виплати для своїх мешканців, які стали на захист рідної країни. Тут потрібно відмітку про те, як громада допомагає зібратися новим воїнам. Чи виділяється матеріальна/ фінансова допомога мешканцям громади на перший збір та закупівлю найнеобхіднішого.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Підтримка бойового духу ЗСУ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Дуже важлива складова. Тут слід зробити відмітку, якщо ваша громада сприяє налагодженню співпраці між освітніми, позашкільними закладами і військовим підрозділами, які дислокуються на передовій. У громаді проводиться збір необхідних речей для військових, виготовляються вироби, малюнки, листи, які підтримують бойовий дух наших воїнів.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color w:val="000000" w:themeColor="text1"/>
                <w:sz w:val="28"/>
                <w:szCs w:val="28"/>
              </w:rPr>
              <w:t xml:space="preserve">Соціальна складова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 xml:space="preserve">Варто зазначити інформацію про створення хабів чи центрів прийому внутрішньо переміщених осіб.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Можливо населені пункти громади приймали на своїй території військові підрозділи та надавали допомогу щодо матеріально-технічного забезпечення (проживання, харчування та інше). Також враховується вплив на соціальну інтеграцію військовослужбовців, ветеранів, ВПО та згуртованість мешканців громади у їх прийомі та підтримці.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color w:val="000000" w:themeColor="text1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3.2.10 Заявка для номінації «Вироблено в громаді»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774"/>
        <w:gridCol w:w="3827"/>
        <w:gridCol w:w="1127"/>
      </w:tblGrid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Економічний вплив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: Оцінюється внесок проектів, ініціатив чи виробництв у розвиток місцевої економіки, включаючи створення нових робочих місць, збільшення доходів громади та розвиток інфраструктури.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Інноваційність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: Оцінюються унікальні підходи, нові технології або методи виробництва, що були впроваджені в громаді і сприяли розвитку місцевого бізнесу.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Соціальна значущість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: Враховується вплив на місцеву спільноту, включаючи соціальну інтеграцію, підтримку вразливих груп населення, а також залучення місцевих жителів до виробничих процесів.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Сталий розвиток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: Оцінюються екологічні аспекти проектів, включаючи заходи з енергоефективності, зменшення викидів та відходів, а також використання екологічно чистих матеріалів.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Партнерство та співпраця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: Розглядаються успішні приклади співпраці між місцевим самоврядуванням, бізнесом, громадськими організаціями та іншими зацікавленими сторонами в межах громади.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Normal"/>
              <w:spacing w:lineRule="atLeast" w:line="300" w:before="0" w:after="120"/>
              <w:contextualSpacing/>
              <w:rPr>
                <w:rFonts w:ascii="Times New Roman" w:hAnsi="Times New Roman" w:eastAsia="Calibri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Вплив на імідж громади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: Враховується, як реалізація ініціативи сприяла підвищенню привабливості громади для інвесторів, туристів або нових мешканців.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4. Опис досягнень громади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4.1. Короткий опис реалізованих проектів та досягнень у вибраній номінації: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4.2. Результати та вплив реалізованих проектів: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4.3. Інноваційність підходів та методів: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4.4. Можливість поширення досвіду на інші громади: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0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1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5. Додаткові матеріали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5.1.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Додайте фото, відео, посилання на ЗМІ або інші матеріали, які підтверджують досягнення громади (за наявності):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Фото (додати файли)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Відео (посилання)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Інші матеріали (опис та додати файли)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6. Підпис та дата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6.1. Підпис сільського, селищного, міського голови: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_______________________________________________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6.2. Дата: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7. Підтвердження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7.1. Підтверджую, що надана інформація є достовірною та актуальною.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177800" distL="0" distR="0">
                <wp:extent cx="216535" cy="184785"/>
                <wp:effectExtent l="0" t="0" r="0" b="0"/>
                <wp:docPr id="3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60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28.55pt;width:16.95pt;height:14.4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>Так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Rectangle 1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Примітка: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Заповнену заявку надсилайте на електронну пошту Виконавчого апарату</w:t>
      </w:r>
      <w:r>
        <w:rPr>
          <w:color w:val="000000" w:themeColor="text1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ВАОМС «Асоціація ОТГ»: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uk-UA"/>
        </w:rPr>
        <w:t>office@hromady.org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uk-UA"/>
        </w:rPr>
        <w:t>Кінцевий термін подання заявок: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u w:val="single"/>
          <w:lang w:eastAsia="uk-UA"/>
        </w:rPr>
        <w:t>31 жовтня 2025 року (включно).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709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684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86a88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1668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1668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LibreOffice/6.3.5.2$Windows_X86_64 LibreOffice_project/dd0751754f11728f69b42ee2af66670068624673</Application>
  <Pages>15</Pages>
  <Words>1762</Words>
  <Characters>12434</Characters>
  <CharactersWithSpaces>14023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2025-09-25T21:19:00Z</dcterms:created>
  <dc:creator>userMB</dc:creator>
  <dc:description/>
  <dc:language>ru-RU</dc:language>
  <cp:lastModifiedBy/>
  <dcterms:modified xsi:type="dcterms:W3CDTF">2025-09-26T12:15:32Z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