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CA" w:rsidRPr="005243CA" w:rsidRDefault="005243CA" w:rsidP="005243C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243CA">
        <w:rPr>
          <w:rFonts w:ascii="Times New Roman" w:hAnsi="Times New Roman" w:cs="Times New Roman"/>
          <w:i/>
          <w:iCs/>
          <w:sz w:val="24"/>
          <w:szCs w:val="24"/>
          <w:u w:val="single"/>
        </w:rPr>
        <w:t>Редакція від 11.12.2023</w:t>
      </w:r>
    </w:p>
    <w:p w:rsidR="00202232" w:rsidRPr="00CD714C" w:rsidRDefault="00202232" w:rsidP="003C6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D714C">
        <w:rPr>
          <w:rFonts w:ascii="Times New Roman" w:hAnsi="Times New Roman" w:cs="Times New Roman"/>
          <w:b/>
          <w:bCs/>
          <w:sz w:val="28"/>
          <w:szCs w:val="28"/>
        </w:rPr>
        <w:t>Чек-лист готовності ОМС</w:t>
      </w:r>
      <w:bookmarkEnd w:id="0"/>
      <w:r w:rsidR="00F22C86" w:rsidRPr="00CD7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714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F22C86" w:rsidRPr="00CD7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4455">
        <w:rPr>
          <w:rFonts w:ascii="Times New Roman" w:hAnsi="Times New Roman" w:cs="Times New Roman"/>
          <w:b/>
          <w:bCs/>
          <w:sz w:val="28"/>
          <w:szCs w:val="28"/>
        </w:rPr>
        <w:t>Орган</w:t>
      </w:r>
      <w:r w:rsidR="00F22C86" w:rsidRPr="00CD714C">
        <w:rPr>
          <w:rFonts w:ascii="Times New Roman" w:hAnsi="Times New Roman" w:cs="Times New Roman"/>
          <w:b/>
          <w:bCs/>
          <w:sz w:val="28"/>
          <w:szCs w:val="28"/>
        </w:rPr>
        <w:t xml:space="preserve">ізаційний </w:t>
      </w:r>
      <w:r w:rsidRPr="00CD714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202232" w:rsidRPr="00CD714C" w:rsidRDefault="00202232" w:rsidP="003C6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14C">
        <w:rPr>
          <w:rFonts w:ascii="Times New Roman" w:hAnsi="Times New Roman" w:cs="Times New Roman"/>
          <w:b/>
          <w:bCs/>
          <w:sz w:val="28"/>
          <w:szCs w:val="28"/>
        </w:rPr>
        <w:t xml:space="preserve">впровадження Закону </w:t>
      </w:r>
      <w:r w:rsidR="00FC5C57" w:rsidRPr="00CD714C">
        <w:rPr>
          <w:rFonts w:ascii="Times New Roman" w:hAnsi="Times New Roman" w:cs="Times New Roman"/>
          <w:b/>
          <w:bCs/>
          <w:sz w:val="28"/>
          <w:szCs w:val="28"/>
        </w:rPr>
        <w:t xml:space="preserve">України </w:t>
      </w:r>
      <w:r w:rsidRPr="00CD714C">
        <w:rPr>
          <w:rFonts w:ascii="Times New Roman" w:hAnsi="Times New Roman" w:cs="Times New Roman"/>
          <w:b/>
          <w:bCs/>
          <w:sz w:val="28"/>
          <w:szCs w:val="28"/>
        </w:rPr>
        <w:t>«Про адміністративну процедуру»</w:t>
      </w:r>
    </w:p>
    <w:p w:rsidR="008E7FF6" w:rsidRPr="00CD714C" w:rsidRDefault="008E7FF6" w:rsidP="008E7FF6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232" w:rsidRPr="00CD714C" w:rsidRDefault="008E7FF6" w:rsidP="00AD6EC9">
      <w:pPr>
        <w:spacing w:before="80" w:after="0" w:line="240" w:lineRule="auto"/>
        <w:ind w:left="980" w:hanging="554"/>
        <w:rPr>
          <w:rFonts w:ascii="Times New Roman" w:hAnsi="Times New Roman" w:cs="Times New Roman"/>
          <w:b/>
          <w:bCs/>
          <w:sz w:val="24"/>
          <w:szCs w:val="24"/>
        </w:rPr>
      </w:pPr>
      <w:r w:rsidRPr="00CD714C">
        <w:rPr>
          <w:rFonts w:ascii="Times New Roman" w:hAnsi="Times New Roman" w:cs="Times New Roman"/>
          <w:b/>
          <w:bCs/>
          <w:sz w:val="24"/>
          <w:szCs w:val="24"/>
        </w:rPr>
        <w:t>Скорочення</w:t>
      </w:r>
      <w:r w:rsidR="00AD6EC9" w:rsidRPr="00CD714C">
        <w:rPr>
          <w:rFonts w:ascii="Times New Roman" w:hAnsi="Times New Roman" w:cs="Times New Roman"/>
          <w:b/>
          <w:bCs/>
          <w:sz w:val="24"/>
          <w:szCs w:val="24"/>
        </w:rPr>
        <w:t>, абревіатури</w:t>
      </w:r>
    </w:p>
    <w:tbl>
      <w:tblPr>
        <w:tblStyle w:val="a3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6"/>
        <w:gridCol w:w="7102"/>
      </w:tblGrid>
      <w:tr w:rsidR="00F72497" w:rsidRPr="00CD714C" w:rsidTr="004C438C">
        <w:tc>
          <w:tcPr>
            <w:tcW w:w="7175" w:type="dxa"/>
            <w:tcBorders>
              <w:right w:val="single" w:sz="4" w:space="0" w:color="auto"/>
            </w:tcBorders>
          </w:tcPr>
          <w:p w:rsidR="00F72497" w:rsidRPr="00CD714C" w:rsidRDefault="00F72497" w:rsidP="00F72497">
            <w:pPr>
              <w:tabs>
                <w:tab w:val="left" w:pos="995"/>
              </w:tabs>
              <w:spacing w:before="8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ab/>
              <w:t>адміністративний акт</w:t>
            </w:r>
          </w:p>
          <w:p w:rsidR="00F72497" w:rsidRPr="00CD714C" w:rsidRDefault="00F72497" w:rsidP="00F72497">
            <w:pPr>
              <w:tabs>
                <w:tab w:val="left" w:pos="995"/>
              </w:tabs>
              <w:spacing w:before="8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ab/>
              <w:t>адміністративний орган</w:t>
            </w:r>
          </w:p>
          <w:p w:rsidR="00F72497" w:rsidRPr="00CD714C" w:rsidRDefault="00F72497" w:rsidP="004C438C">
            <w:pPr>
              <w:tabs>
                <w:tab w:val="left" w:pos="995"/>
              </w:tabs>
              <w:spacing w:before="80"/>
              <w:ind w:left="995" w:hanging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ЗАП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6" w:anchor="Text" w:history="1">
              <w:r w:rsidRPr="00CD71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 України «Про адміністративну процедуру»</w:t>
              </w:r>
            </w:hyperlink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286" w:rsidRDefault="00B90286" w:rsidP="004C438C">
            <w:pPr>
              <w:tabs>
                <w:tab w:val="left" w:pos="995"/>
              </w:tabs>
              <w:spacing w:before="8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318035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ІК, ТК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інформаційні, технологічні картки адмінпослуг</w:t>
            </w:r>
            <w:bookmarkEnd w:id="1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497" w:rsidRPr="00CD714C" w:rsidRDefault="00F72497" w:rsidP="004C438C">
            <w:pPr>
              <w:tabs>
                <w:tab w:val="left" w:pos="995"/>
              </w:tabs>
              <w:spacing w:before="8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НПА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нормативно-правовий акт</w:t>
            </w:r>
          </w:p>
          <w:p w:rsidR="00F72497" w:rsidRPr="00CD714C" w:rsidRDefault="004C438C" w:rsidP="00AE1B03">
            <w:pPr>
              <w:spacing w:before="80"/>
              <w:ind w:left="1021" w:hanging="1021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ab/>
              <w:t>орган (органи) місцевого самоврядування</w:t>
            </w:r>
            <w:r w:rsidR="003A7254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5" w:type="dxa"/>
            <w:tcBorders>
              <w:left w:val="single" w:sz="4" w:space="0" w:color="auto"/>
            </w:tcBorders>
          </w:tcPr>
          <w:p w:rsidR="00B90286" w:rsidRDefault="00B90286" w:rsidP="00F72497">
            <w:pPr>
              <w:spacing w:before="80"/>
              <w:ind w:left="1408" w:hanging="1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публічна адміністрація </w:t>
            </w:r>
          </w:p>
          <w:p w:rsidR="00F72497" w:rsidRPr="00CD714C" w:rsidRDefault="00F72497" w:rsidP="00F72497">
            <w:pPr>
              <w:spacing w:before="80"/>
              <w:ind w:left="1408" w:hanging="1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ПУО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ab/>
              <w:t>підприємства, установи, організації, що належать до сфери управління ОМС та які відповідно до ЗАП уповноважені на виконання функцій публічної адміністрації</w:t>
            </w:r>
          </w:p>
          <w:p w:rsidR="008933DD" w:rsidRPr="00CD714C" w:rsidRDefault="00F72497" w:rsidP="00AE1B03">
            <w:pPr>
              <w:spacing w:before="80"/>
              <w:ind w:left="1408" w:hanging="1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СКМУ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ab/>
              <w:t>Секретаріат Кабінету Міністрів України</w:t>
            </w:r>
          </w:p>
        </w:tc>
      </w:tr>
    </w:tbl>
    <w:p w:rsidR="00202232" w:rsidRPr="00CD714C" w:rsidRDefault="00202232" w:rsidP="003C6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22"/>
        <w:gridCol w:w="992"/>
        <w:gridCol w:w="5273"/>
        <w:gridCol w:w="2268"/>
        <w:gridCol w:w="1134"/>
        <w:gridCol w:w="4536"/>
      </w:tblGrid>
      <w:tr w:rsidR="002A4A60" w:rsidRPr="00CD714C" w:rsidTr="003C5EE4">
        <w:trPr>
          <w:trHeight w:val="445"/>
        </w:trPr>
        <w:tc>
          <w:tcPr>
            <w:tcW w:w="822" w:type="dxa"/>
            <w:vMerge w:val="restart"/>
          </w:tcPr>
          <w:p w:rsidR="002A4A60" w:rsidRPr="00CD714C" w:rsidRDefault="002A4A60" w:rsidP="00D17FF2">
            <w:pPr>
              <w:ind w:righ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  <w:vMerge w:val="restart"/>
            <w:shd w:val="clear" w:color="auto" w:fill="FFF2CC" w:themeFill="accent4" w:themeFillTint="33"/>
          </w:tcPr>
          <w:p w:rsidR="002A4A60" w:rsidRPr="00CD714C" w:rsidRDefault="001214D2" w:rsidP="003C5EE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2A4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2A4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5273" w:type="dxa"/>
            <w:shd w:val="clear" w:color="auto" w:fill="FFF2CC" w:themeFill="accent4" w:themeFillTint="33"/>
            <w:vAlign w:val="center"/>
          </w:tcPr>
          <w:p w:rsidR="002A4A60" w:rsidRPr="00CD714C" w:rsidRDefault="002A4A60" w:rsidP="002A4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готовності</w:t>
            </w:r>
          </w:p>
        </w:tc>
        <w:tc>
          <w:tcPr>
            <w:tcW w:w="2268" w:type="dxa"/>
            <w:vMerge w:val="restart"/>
            <w:shd w:val="clear" w:color="auto" w:fill="E2EFD9" w:themeFill="accent6" w:themeFillTint="33"/>
            <w:vAlign w:val="center"/>
          </w:tcPr>
          <w:p w:rsidR="002A4A60" w:rsidRPr="00CD714C" w:rsidRDefault="002A4A60" w:rsidP="0099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Відповідальний(-і)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2A4A60" w:rsidRPr="00CD714C" w:rsidRDefault="002A4A60" w:rsidP="0099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r w:rsidR="00D1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виконання</w:t>
            </w:r>
          </w:p>
        </w:tc>
        <w:tc>
          <w:tcPr>
            <w:tcW w:w="4536" w:type="dxa"/>
            <w:vMerge w:val="restart"/>
            <w:shd w:val="clear" w:color="auto" w:fill="FBE4D5" w:themeFill="accent2" w:themeFillTint="33"/>
            <w:vAlign w:val="center"/>
          </w:tcPr>
          <w:p w:rsidR="002A4A60" w:rsidRPr="00CD714C" w:rsidRDefault="002A4A60" w:rsidP="0099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Примітка</w:t>
            </w:r>
          </w:p>
        </w:tc>
      </w:tr>
      <w:tr w:rsidR="002A4A60" w:rsidRPr="00CD714C" w:rsidTr="003C5EE4">
        <w:trPr>
          <w:trHeight w:val="887"/>
        </w:trPr>
        <w:tc>
          <w:tcPr>
            <w:tcW w:w="822" w:type="dxa"/>
            <w:vMerge/>
          </w:tcPr>
          <w:p w:rsidR="002A4A60" w:rsidRPr="00CD714C" w:rsidRDefault="002A4A60" w:rsidP="00D17FF2">
            <w:pPr>
              <w:ind w:righ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:rsidR="002A4A60" w:rsidRPr="00CD714C" w:rsidRDefault="002A4A60" w:rsidP="0099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E2EFD9" w:themeFill="accent6" w:themeFillTint="33"/>
            <w:vAlign w:val="center"/>
          </w:tcPr>
          <w:p w:rsidR="002A4A60" w:rsidRPr="00CD714C" w:rsidRDefault="002A4A60" w:rsidP="0099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Завдання </w:t>
            </w:r>
            <w:proofErr w:type="spellStart"/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оргплану</w:t>
            </w:r>
            <w:proofErr w:type="spellEnd"/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7FF2" w:rsidRPr="003C5E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D17FF2" w:rsidRPr="003C5E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 w:rsidR="00D17F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кщо</w:t>
            </w:r>
            <w:r w:rsidRPr="001214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відповід</w:t>
            </w:r>
            <w:r w:rsidR="00D17F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1214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«ні» до відповідного індикатора готовності</w:t>
            </w:r>
            <w:r w:rsidR="00624455" w:rsidRPr="001214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нижче</w:t>
            </w:r>
            <w:r w:rsidRPr="001214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сформулювати </w:t>
            </w:r>
            <w:r w:rsidR="001214D2" w:rsidRPr="001214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 основі такого індикатора </w:t>
            </w:r>
            <w:r w:rsidRPr="001214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завдання до </w:t>
            </w:r>
            <w:proofErr w:type="spellStart"/>
            <w:r w:rsidRPr="001214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оргплану</w:t>
            </w:r>
            <w:proofErr w:type="spellEnd"/>
            <w:r w:rsidRPr="001214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 визначити, розробити, затвердити…)</w:t>
            </w: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2A4A60" w:rsidRPr="00CD714C" w:rsidRDefault="002A4A60" w:rsidP="0099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2A4A60" w:rsidRPr="00CD714C" w:rsidRDefault="002A4A60" w:rsidP="0099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BE4D5" w:themeFill="accent2" w:themeFillTint="33"/>
            <w:vAlign w:val="center"/>
          </w:tcPr>
          <w:p w:rsidR="002A4A60" w:rsidRPr="00CD714C" w:rsidRDefault="002A4A60" w:rsidP="0099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4"/>
              </w:numPr>
              <w:ind w:right="24" w:hanging="5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8E7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8E7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Загальні питання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8E7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8E7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8E7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4A60" w:rsidRPr="00CD714C" w:rsidDel="00D40019" w:rsidTr="003C5EE4">
        <w:tc>
          <w:tcPr>
            <w:tcW w:w="822" w:type="dxa"/>
          </w:tcPr>
          <w:p w:rsidR="002A4A60" w:rsidRPr="00CD714C" w:rsidDel="00D40019" w:rsidRDefault="002A4A60" w:rsidP="00D17FF2">
            <w:pPr>
              <w:pStyle w:val="a4"/>
              <w:numPr>
                <w:ilvl w:val="1"/>
                <w:numId w:val="10"/>
              </w:numPr>
              <w:ind w:left="427" w:right="24" w:hanging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5243CA" w:rsidDel="00D40019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Утворено робочу групу з питань впровадження ЗАП в ОМС та ПУО.</w:t>
            </w:r>
          </w:p>
        </w:tc>
        <w:tc>
          <w:tcPr>
            <w:tcW w:w="2268" w:type="dxa"/>
          </w:tcPr>
          <w:p w:rsidR="002A4A60" w:rsidRPr="005243CA" w:rsidDel="00D40019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5243CA" w:rsidDel="00D40019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5243CA" w:rsidRDefault="002A4A60" w:rsidP="00D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Рекомендовано, зокрема, включати до складу робочої групи:</w:t>
            </w:r>
          </w:p>
          <w:p w:rsidR="002A4A60" w:rsidRPr="005243CA" w:rsidRDefault="002A4A60" w:rsidP="00D40019">
            <w:pPr>
              <w:pStyle w:val="a4"/>
              <w:numPr>
                <w:ilvl w:val="0"/>
                <w:numId w:val="11"/>
              </w:numPr>
              <w:ind w:left="153" w:hanging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секретаря місцевої ради; </w:t>
            </w:r>
          </w:p>
          <w:p w:rsidR="002A4A60" w:rsidRPr="005243CA" w:rsidRDefault="002A4A60" w:rsidP="00D40019">
            <w:pPr>
              <w:pStyle w:val="a4"/>
              <w:numPr>
                <w:ilvl w:val="0"/>
                <w:numId w:val="11"/>
              </w:numPr>
              <w:ind w:left="153" w:hanging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/ членів профільних постійних комісій місцевої ради; </w:t>
            </w:r>
          </w:p>
          <w:p w:rsidR="002A4A60" w:rsidRPr="005243CA" w:rsidRDefault="002A4A60" w:rsidP="00D40019">
            <w:pPr>
              <w:pStyle w:val="a4"/>
              <w:numPr>
                <w:ilvl w:val="0"/>
                <w:numId w:val="11"/>
              </w:numPr>
              <w:ind w:left="153" w:hanging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керуючого справами виконкому; </w:t>
            </w:r>
          </w:p>
          <w:p w:rsidR="002A4A60" w:rsidRPr="005243CA" w:rsidRDefault="002A4A60" w:rsidP="00D40019">
            <w:pPr>
              <w:pStyle w:val="a4"/>
              <w:numPr>
                <w:ilvl w:val="0"/>
                <w:numId w:val="11"/>
              </w:numPr>
              <w:ind w:left="153" w:hanging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керівників виконавчих органів </w:t>
            </w:r>
            <w:r w:rsidR="000975D9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(в т. ч. ЦНАП), 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ПУО / відповідальних за організацію впровадження ЗАП;</w:t>
            </w:r>
          </w:p>
          <w:p w:rsidR="002A4A60" w:rsidRPr="005243CA" w:rsidDel="00D40019" w:rsidRDefault="002A4A60" w:rsidP="00D40019">
            <w:pPr>
              <w:pStyle w:val="a4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представників громадськості.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2A4A60" w:rsidP="00D17FF2">
            <w:pPr>
              <w:pStyle w:val="a4"/>
              <w:ind w:left="1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Визначено відповідального(-</w:t>
            </w:r>
            <w:proofErr w:type="spellStart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) з керівного складу ОМС за загальну координацію впровадження ЗАП у місцевій раді, виконавчих органах, апараті ради та виконавчих органів, ПУО. 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0975D9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Відповідальним за впровадження ЗАП у місцевій раді може бути визначено секретаря ради, у виконавчих органах, апараті ради та виконавчих органів – керуюч</w:t>
            </w:r>
            <w:r w:rsidR="00C26A37" w:rsidRPr="005243C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справами виконкому.</w:t>
            </w:r>
            <w:r w:rsidR="0091478C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Таке визначення доцільно зазначити </w:t>
            </w:r>
            <w:r w:rsidR="0091478C" w:rsidRPr="00524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безпосередньо в розпорядженні місцевого голови (зокрема про створення робочої групи), а не одним із пунктів плану.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2A4A60" w:rsidP="00D17FF2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відповідальних за організацію впровадження ЗАП у відповідних ОМС (місцева рада та її виконавчі органи) </w:t>
            </w:r>
            <w:r w:rsidR="001214D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ПУО.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 </w:t>
            </w:r>
            <w:r w:rsidR="00624455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для ЦНАП: Визначено відповідального(-у) за координацію впровадження ЗАП у ЦНАП, в т. ч. у взаємодії зі СНАП.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D17FF2" w:rsidRDefault="00D17FF2" w:rsidP="00D17FF2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Опрацьовано ЗАП: мета / призначення, місце в системі законодавства, принципи, розуміння категорій АА, АО тощо.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5243CA" w:rsidRDefault="002A4A60" w:rsidP="00D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Пріоритетно</w:t>
            </w:r>
            <w:proofErr w:type="spellEnd"/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рекомендовано цей</w:t>
            </w:r>
            <w:r w:rsidR="00EA6F80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захід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до виконання відповідальним за загальну координацію, організацію впровадження ЗАП, що визначені в пп. 1.2. і 1.3.</w:t>
            </w:r>
          </w:p>
          <w:p w:rsidR="002A4A60" w:rsidRPr="005243CA" w:rsidRDefault="009908C5" w:rsidP="00D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1B03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вернути увагу на Поради з підготовки для надавачів послуг та інспекцій: </w:t>
            </w:r>
            <w:hyperlink r:id="rId7" w:history="1">
              <w:r w:rsidR="00AE1B03" w:rsidRPr="00524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https://adminprocedure.org.ua/pages/3</w:t>
              </w:r>
            </w:hyperlink>
            <w:r w:rsidR="00AE1B03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78C" w:rsidRPr="00CD714C" w:rsidTr="003C5EE4">
        <w:tc>
          <w:tcPr>
            <w:tcW w:w="822" w:type="dxa"/>
          </w:tcPr>
          <w:p w:rsidR="0091478C" w:rsidRPr="00D17FF2" w:rsidRDefault="00D17FF2" w:rsidP="00D17FF2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92" w:type="dxa"/>
          </w:tcPr>
          <w:p w:rsidR="0091478C" w:rsidRPr="00CD714C" w:rsidRDefault="0091478C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91478C" w:rsidRPr="00CD714C" w:rsidRDefault="0091478C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Затверджено організаційний план впровадження ЗАП в ОМС та ПУО.</w:t>
            </w:r>
          </w:p>
        </w:tc>
        <w:tc>
          <w:tcPr>
            <w:tcW w:w="2268" w:type="dxa"/>
          </w:tcPr>
          <w:p w:rsidR="0091478C" w:rsidRPr="00CD714C" w:rsidRDefault="0091478C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78C" w:rsidRPr="00CD714C" w:rsidRDefault="0091478C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1478C" w:rsidRPr="005243CA" w:rsidRDefault="00EA6F80" w:rsidP="00D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Рекомендовано в</w:t>
            </w:r>
            <w:r w:rsidR="0091478C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розпорядженні місцевого голови про створення робочої групи 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визначити </w:t>
            </w:r>
            <w:r w:rsidR="0091478C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одним із ключових завдань розроблення 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у визначений термін організаційного </w:t>
            </w:r>
            <w:r w:rsidR="0091478C" w:rsidRPr="005243C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478C" w:rsidRPr="00524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Навчання, методична і консультативна підтримка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Персонал, що має застосовувати ЗАП, пройшов </w:t>
            </w:r>
            <w:hyperlink r:id="rId8" w:history="1">
              <w:r w:rsidRPr="00CD71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онлайн-курс</w:t>
              </w:r>
            </w:hyperlink>
            <w:r w:rsidRPr="00CD71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E2F">
              <w:rPr>
                <w:rFonts w:ascii="Times New Roman" w:hAnsi="Times New Roman" w:cs="Times New Roman"/>
                <w:sz w:val="24"/>
                <w:szCs w:val="24"/>
              </w:rPr>
              <w:t>«Загальна адміністративна процедура»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D17FF2" w:rsidRDefault="00D17FF2" w:rsidP="00D17FF2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FF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Сплановано/проведено навчальні заходи для персоналу, що має застосовувати ЗАП.</w:t>
            </w:r>
            <w:r w:rsidR="00780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B55" w:rsidRPr="005243CA">
              <w:rPr>
                <w:rFonts w:ascii="Times New Roman" w:hAnsi="Times New Roman" w:cs="Times New Roman"/>
                <w:sz w:val="24"/>
                <w:szCs w:val="24"/>
              </w:rPr>
              <w:t>Залучено до навчання членів колегіальних органів</w:t>
            </w:r>
            <w:r w:rsidR="00AE1B03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(місцева рада, виконком, комісії)</w:t>
            </w:r>
            <w:r w:rsidR="00780B55" w:rsidRPr="005243CA">
              <w:rPr>
                <w:rFonts w:ascii="Times New Roman" w:hAnsi="Times New Roman" w:cs="Times New Roman"/>
                <w:sz w:val="24"/>
                <w:szCs w:val="24"/>
              </w:rPr>
              <w:t>, які є АО</w:t>
            </w:r>
            <w:r w:rsidR="00AE1B03" w:rsidRPr="00524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Персонал має необхідні навчальні та довідкові матеріали для застосування у щоденній роботі.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906E2F" w:rsidRDefault="002A4A60" w:rsidP="0090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E2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використовувати наступні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r w:rsidRPr="00906E2F">
              <w:rPr>
                <w:rFonts w:ascii="Times New Roman" w:hAnsi="Times New Roman" w:cs="Times New Roman"/>
                <w:sz w:val="24"/>
                <w:szCs w:val="24"/>
              </w:rPr>
              <w:t xml:space="preserve"> на сайті </w:t>
            </w:r>
            <w:hyperlink r:id="rId9" w:history="1">
              <w:r w:rsidRPr="00906E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https://adminprocedure.org.ua/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A60" w:rsidRPr="00CD714C" w:rsidRDefault="005913D8" w:rsidP="00CD714C">
            <w:pPr>
              <w:pStyle w:val="a4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A4A60" w:rsidRPr="00CD71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Посібник</w:t>
              </w:r>
            </w:hyperlink>
            <w:r w:rsidR="002A4A60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із загальної адміністративної процедури для публічних службовців</w:t>
            </w:r>
            <w:r w:rsidR="002A4A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4A60" w:rsidRPr="00CD714C" w:rsidRDefault="005913D8" w:rsidP="00CD714C">
            <w:pPr>
              <w:pStyle w:val="a4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A4A60" w:rsidRPr="00CD71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Науково-практичний коментар</w:t>
              </w:r>
            </w:hyperlink>
            <w:r w:rsidR="002A4A60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до Закону «Про адміністративну процедуру»</w:t>
            </w:r>
            <w:r w:rsidR="002A4A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4A60" w:rsidRPr="009908C5" w:rsidRDefault="005913D8" w:rsidP="007B20E7">
            <w:pPr>
              <w:pStyle w:val="a4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A4A60" w:rsidRPr="00906E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Професійна спільнота</w:t>
              </w:r>
            </w:hyperlink>
            <w:r w:rsidR="002A4A60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з загальної адміністративної процедури у ФБ</w:t>
            </w:r>
            <w:r w:rsidR="002A4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4A60" w:rsidRPr="00990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Персонал має контакти до кого звернутися за консультацією, інформацією щодо застосування ЗАП.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Допоміжний ресурс: </w:t>
            </w:r>
            <w:hyperlink r:id="rId13" w:history="1">
              <w:r w:rsidRPr="00CD71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https://adminprocedure.org.ua/</w:t>
              </w:r>
            </w:hyperlink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D17FF2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AD6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AD6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Функції ПА, адміністративні органи, адміністративні акти в ОМС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AD64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AD64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AD64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3047239"/>
            <w:bookmarkStart w:id="3" w:name="_Hlk152945673"/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Проаналізовано функції ПА, які здійснюють ОМС за сферами повноважень / галузями та АО, які їх реалізують.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Функції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(ст.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A60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D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адмінпослуг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3DD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2) здійснення інспекційної (контрольної, наглядової)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3) вирішення інших справ за заявою особи або 4) за власною ініціативою АО.</w:t>
            </w:r>
          </w:p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Відносини, на які ЗАП не поширюється (ст.1).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Визначено (ідентифіковано) ОМС, їх посадових осіб, які є АО.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АО - орган виконавчої влади, орган влади Автономної Республіки Крим, ОМС, їх посадова особа… (ст. 2). Місцева рада, виконавчий комітет, місцевий голова (у разі видання ним АА та «прирівняних дій» - довідки тощо), окремі виконавчі органи ради, окремі посадові особи, старости (ст. 2) та у певних випадках – інші суб’єкти</w:t>
            </w:r>
            <w:r w:rsidR="00624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2"/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Визначено (ідентифіковано) ПУО, їх посадових осіб, які є також АО.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АО - … інший суб’єкт, який відповідно до закону уповноважений здійснювати функції публічної адміністрації (ст. 2).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(ідентифіковано) види АА, які фактично видаються АО (ОМС та ПУО). </w:t>
            </w:r>
            <w:r w:rsidR="008933DD">
              <w:rPr>
                <w:rFonts w:ascii="Times New Roman" w:hAnsi="Times New Roman" w:cs="Times New Roman"/>
                <w:sz w:val="24"/>
                <w:szCs w:val="24"/>
              </w:rPr>
              <w:t>Звернути особливу увагу на відмовні АА.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933DD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Видами АА можуть бути рішення, розпорядження, накази, листи тощо. </w:t>
            </w:r>
          </w:p>
          <w:p w:rsidR="002A4A60" w:rsidRPr="00CD714C" w:rsidRDefault="008933DD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практики:</w:t>
            </w:r>
            <w:r w:rsidR="002A4A60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позитивні АА видаються у формі актів індивідуальної дії (рішення, розпорядження, накази), а відмовні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можуть видаватися</w:t>
            </w:r>
            <w:r w:rsidR="002A4A60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у формі листів за підписом визначених посадових осіб. </w:t>
            </w:r>
          </w:p>
        </w:tc>
      </w:tr>
      <w:bookmarkEnd w:id="3"/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92" w:type="dxa"/>
          </w:tcPr>
          <w:p w:rsidR="002A4A60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Встановлено та п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роаналізовано фактичну кількість відмовних рішень (негативних АА) за сферами повноважень / галузями та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відповідний період (наприклад, 2023 рік)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Рішення, розпорядження, накази, листи тощо. 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Проаналізовано вплив ЗАП на сферу «звернень громадян» (види звернень), визначено заходи щодо приведення діяльності ОМС у відповідність до ЗАП, розмежовано/уточнено функції.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Потрібно буде відмежувати «заяви і скарги», що розглядатимуться за ЗАП від інших звернень (що залишаються у предметі Закону «Про звернення…»</w:t>
            </w:r>
            <w:r w:rsidR="00990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Адміністративне оскарження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хто є суб’єктом розгляду скарг в адміністративному порядку на кожен вид щодо власних та делегованих повноважень та суд, до якого може звернутися скаржник (ст. 79). Цю інформацію включено до АА (формулярів), зокрема, негативного (відмовного або </w:t>
            </w:r>
            <w:proofErr w:type="spellStart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обтяжувального</w:t>
            </w:r>
            <w:proofErr w:type="spellEnd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характеру)</w:t>
            </w:r>
            <w:r w:rsidR="009908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08C5" w:rsidRPr="005243CA">
              <w:rPr>
                <w:rFonts w:ascii="Times New Roman" w:hAnsi="Times New Roman" w:cs="Times New Roman"/>
                <w:sz w:val="24"/>
                <w:szCs w:val="24"/>
              </w:rPr>
              <w:t>а також в ІК / ТК адмінпослуг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Враховуємо, що на цьому етапі окремі АА / АО не мають суб’єкта розгляду скарг в адміністративному порядку (як-от, місцеві ради, голови, виконкоми…). Для вирішення цього питання – див. додатково п. </w:t>
            </w:r>
            <w:r w:rsidR="005243C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4455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порядок отримання скарг (у разі наявності </w:t>
            </w:r>
            <w:proofErr w:type="spellStart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адміноскарження</w:t>
            </w:r>
            <w:proofErr w:type="spellEnd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) і їх передачі суб’єкту розгляду скарг (ст. 82).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Утворено комісію з розгляду скарг (в міру готовності АО). Затверджено Положення та Регламент її роботи. </w:t>
            </w:r>
          </w:p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B55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</w:t>
            </w:r>
            <w:hyperlink r:id="rId14" w:anchor="Text" w:history="1">
              <w:r w:rsidRPr="00CD71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Примірного положення</w:t>
              </w:r>
            </w:hyperlink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про комісію з розгляду скарг, затвердженого Постановою КМУ від 28.04.2023 № 420 (має рекомендаційний характер для ОМС).</w:t>
            </w:r>
          </w:p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Насамперед, необхідно визначитися з доцільністю утворення комісії (залежно від обсягу негативних АА та позовів до суду тощо), сформувати бачення її оптимального складу та організації роботи, розробки порядку формування складу та регламенту роботи.</w:t>
            </w:r>
          </w:p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Можливе пілотування роботи комісії та удосконалення правил після апробації.</w:t>
            </w: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Адміністративне провадження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Враховано у регламентах, правилах, порядках – та відповідно у діяльності норми ЗАП щодо: </w:t>
            </w:r>
          </w:p>
          <w:p w:rsidR="002A4A60" w:rsidRPr="00CD714C" w:rsidRDefault="002A4A60" w:rsidP="007B20E7">
            <w:pPr>
              <w:pStyle w:val="a4"/>
              <w:numPr>
                <w:ilvl w:val="1"/>
                <w:numId w:val="9"/>
              </w:num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«реєстрації заяви» (ст. 42);</w:t>
            </w:r>
          </w:p>
          <w:p w:rsidR="002A4A60" w:rsidRPr="00CD714C" w:rsidRDefault="002A4A60" w:rsidP="007B20E7">
            <w:pPr>
              <w:pStyle w:val="a4"/>
              <w:numPr>
                <w:ilvl w:val="1"/>
                <w:numId w:val="9"/>
              </w:num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«залишення заяви без руху» (ст. 43);</w:t>
            </w:r>
          </w:p>
          <w:p w:rsidR="002A4A60" w:rsidRPr="00CD714C" w:rsidRDefault="002A4A60" w:rsidP="007B20E7">
            <w:pPr>
              <w:pStyle w:val="a4"/>
              <w:numPr>
                <w:ilvl w:val="1"/>
                <w:numId w:val="9"/>
              </w:num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«залишення заяви без розгляду» (ст. 45);</w:t>
            </w:r>
          </w:p>
          <w:p w:rsidR="002A4A60" w:rsidRPr="00CD714C" w:rsidRDefault="002A4A60" w:rsidP="007B20E7">
            <w:pPr>
              <w:pStyle w:val="a4"/>
              <w:numPr>
                <w:ilvl w:val="1"/>
                <w:numId w:val="9"/>
              </w:num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«зупинення провадження» (ст. 64);</w:t>
            </w:r>
          </w:p>
          <w:p w:rsidR="002A4A60" w:rsidRPr="00CD714C" w:rsidRDefault="002A4A60" w:rsidP="007B20E7">
            <w:pPr>
              <w:pStyle w:val="a4"/>
              <w:numPr>
                <w:ilvl w:val="1"/>
                <w:numId w:val="9"/>
              </w:num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«закриття провадження» (ст. 65).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992" w:type="dxa"/>
          </w:tcPr>
          <w:p w:rsidR="002A4A60" w:rsidRPr="002B6C86" w:rsidRDefault="002A4A60" w:rsidP="007B20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3" w:type="dxa"/>
          </w:tcPr>
          <w:p w:rsidR="002A4A60" w:rsidRPr="00606D55" w:rsidRDefault="002A4A60" w:rsidP="007B20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5EE4">
              <w:rPr>
                <w:rFonts w:ascii="Times New Roman" w:hAnsi="Times New Roman" w:cs="Times New Roman"/>
                <w:sz w:val="24"/>
                <w:szCs w:val="24"/>
              </w:rPr>
              <w:t xml:space="preserve">У регламентах, правилах, порядках додаткова (особлива) увага приділяється нормам що гарантують право особи на участь у провадженні (ст. 17 та </w:t>
            </w:r>
            <w:proofErr w:type="spellStart"/>
            <w:r w:rsidRPr="003C5EE4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3C5EE4">
              <w:rPr>
                <w:rFonts w:ascii="Times New Roman" w:hAnsi="Times New Roman" w:cs="Times New Roman"/>
                <w:sz w:val="24"/>
                <w:szCs w:val="24"/>
              </w:rPr>
              <w:t>). За відсутності такого регулювання / розуміння – навчити та/або внести в НПА (або в ТК).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Фактично у кожному випадку коли йдеться про застосування таких підстав для відмови як недостовірні відомості, неповний перелік документі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тощо – у разі коли додаткова комунікація з особою може змінити АА з негативного (зокрема, відмовного) на позитивний – має застосовуватися ЗАП. Це треба особливо враховувати у місцевих НПА (НПА ОМС).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92" w:type="dxa"/>
          </w:tcPr>
          <w:p w:rsidR="002A4A60" w:rsidRPr="002B6C86" w:rsidRDefault="002A4A60" w:rsidP="007B20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3" w:type="dxa"/>
          </w:tcPr>
          <w:p w:rsidR="002A4A60" w:rsidRPr="002B6C86" w:rsidRDefault="002A4A60" w:rsidP="007B20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5EE4">
              <w:rPr>
                <w:rFonts w:ascii="Times New Roman" w:hAnsi="Times New Roman" w:cs="Times New Roman"/>
                <w:sz w:val="24"/>
                <w:szCs w:val="24"/>
              </w:rPr>
              <w:t xml:space="preserve">Особлива увага приділяється нормам ЗАП про доведення АА до відома особи (ст. 75).  Перевірити чи відповідає ЗАП наявне регулювання в ОМС та практика, а за потреби – визначитися відповідно до ЗАП чи </w:t>
            </w:r>
            <w:proofErr w:type="spellStart"/>
            <w:r w:rsidRPr="003C5EE4">
              <w:rPr>
                <w:rFonts w:ascii="Times New Roman" w:hAnsi="Times New Roman" w:cs="Times New Roman"/>
                <w:sz w:val="24"/>
                <w:szCs w:val="24"/>
              </w:rPr>
              <w:t>доврегулювати</w:t>
            </w:r>
            <w:proofErr w:type="spellEnd"/>
            <w:r w:rsidRPr="003C5EE4">
              <w:rPr>
                <w:rFonts w:ascii="Times New Roman" w:hAnsi="Times New Roman" w:cs="Times New Roman"/>
                <w:sz w:val="24"/>
                <w:szCs w:val="24"/>
              </w:rPr>
              <w:t xml:space="preserve"> в місцевих НПА (або зафіксувати в ІК та ТК тощо)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Визначено порядок надання доступу до матеріалів справи в АО (ст. 51).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З’ясовано чи АО має АА, які може виконувати самостійно у примусовому порядку (статті 92-100) та вироблено розуміння як це працюватиме в АО. За потреби внесені зміни до відповідних положень про виконавчі органи, посадових інструкцій тощо.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Міжвідомча взаємодія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7B20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Визначено у яких випадах АО самі отримують погодження і висновки від інших органів (ст. 16). Попереджено їх про застосування правила мовчазної згоди (ст. 58).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624455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 а</w:t>
            </w:r>
            <w:r w:rsidR="002A4A60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ктуально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сфери адмін</w:t>
            </w:r>
            <w:r w:rsidR="0017261E">
              <w:rPr>
                <w:rFonts w:ascii="Times New Roman" w:hAnsi="Times New Roman" w:cs="Times New Roman"/>
                <w:sz w:val="24"/>
                <w:szCs w:val="24"/>
              </w:rPr>
              <w:t xml:space="preserve">істративних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r w:rsidR="001726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A60" w:rsidRPr="00CD714C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  <w:r w:rsidR="0017261E">
              <w:rPr>
                <w:rFonts w:ascii="Times New Roman" w:hAnsi="Times New Roman" w:cs="Times New Roman"/>
                <w:sz w:val="24"/>
                <w:szCs w:val="24"/>
              </w:rPr>
              <w:t xml:space="preserve"> та суб’єктів надання адмінпослуг.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92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у яких випадах АО самі надають погодження і висновки для інших органів. У разі застосування правила мовчазної згоди визначено сфери, де таке застосування потребує особливої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уваги та не допущення помилкового використання мовчазної згоди (ст. 58).</w:t>
            </w:r>
          </w:p>
        </w:tc>
        <w:tc>
          <w:tcPr>
            <w:tcW w:w="2268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624455" w:rsidP="007B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 а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ктуально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сфери адмін</w:t>
            </w:r>
            <w:r w:rsidR="0017261E">
              <w:rPr>
                <w:rFonts w:ascii="Times New Roman" w:hAnsi="Times New Roman" w:cs="Times New Roman"/>
                <w:sz w:val="24"/>
                <w:szCs w:val="24"/>
              </w:rPr>
              <w:t>істративних послуг: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  <w:r w:rsidR="0017261E">
              <w:rPr>
                <w:rFonts w:ascii="Times New Roman" w:hAnsi="Times New Roman" w:cs="Times New Roman"/>
                <w:sz w:val="24"/>
                <w:szCs w:val="24"/>
              </w:rPr>
              <w:t xml:space="preserve"> та суб’єктів надання адмінпослуг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0F0ABE">
            <w:pPr>
              <w:ind w:left="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0F0ABE">
            <w:pPr>
              <w:ind w:left="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Регламенти, положення, інструкції, локальні НПА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0F0A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0F0A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0F0A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Проаналізовано необхідність врахування вимог ЗАП, розроблено необхідні проекти рішень / внесено відповідні зміни в Регламент місцевої ради, Положення про постійні комісії місцевої ради, Положення про старосту.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Проаналізовано необхідність врахування вимог ЗАП, розроблено необхідні проекти рішень / внесено відповідні зміни в Регламент/Положення виконавчого комітету місцевої ради.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91" w:rsidRPr="00CD714C" w:rsidTr="003C5EE4">
        <w:tc>
          <w:tcPr>
            <w:tcW w:w="822" w:type="dxa"/>
          </w:tcPr>
          <w:p w:rsidR="00E25191" w:rsidRDefault="00E25191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992" w:type="dxa"/>
          </w:tcPr>
          <w:p w:rsidR="00E25191" w:rsidRPr="00CD714C" w:rsidRDefault="00E25191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E25191" w:rsidRPr="00CD714C" w:rsidRDefault="00E25191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Проаналізовано необхідність врахування вимог ЗАП, розроблено необхідні проекти рішень / внесено відповідні зміни до Регламенту ЦНАП, Положення ЦНАП, Положення виконавчого органу/структурного підрозділу з організації діяльності ЦНАП, посадових інструкцій працівників ЦНАП.</w:t>
            </w:r>
          </w:p>
        </w:tc>
        <w:tc>
          <w:tcPr>
            <w:tcW w:w="2268" w:type="dxa"/>
          </w:tcPr>
          <w:p w:rsidR="00E25191" w:rsidRPr="00CD714C" w:rsidRDefault="00E25191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191" w:rsidRPr="00CD714C" w:rsidRDefault="00E25191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25191" w:rsidRPr="00CD714C" w:rsidRDefault="00E25191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У разі потреби – внесено зміни у Положення про виконавчі органи/структурні підрозділи, посадові інструкції в частині нових повноважень за ЗАП (як-от, в частині примусового виконання АА тощо).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Перевірено (за </w:t>
            </w:r>
            <w:hyperlink r:id="rId15" w:history="1">
              <w:r w:rsidRPr="00143F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Чек-листом СКМУ/Мін’юсту</w:t>
              </w:r>
            </w:hyperlink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) місцеві НПА на предмет відповідності (</w:t>
            </w:r>
            <w:proofErr w:type="spellStart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неконфліктності</w:t>
            </w:r>
            <w:proofErr w:type="spellEnd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із ЗАП).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143F2E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Місцеві НПА: П</w:t>
            </w:r>
            <w:r w:rsidR="002A4A60" w:rsidRPr="005243CA">
              <w:rPr>
                <w:rFonts w:ascii="Times New Roman" w:hAnsi="Times New Roman" w:cs="Times New Roman"/>
                <w:sz w:val="24"/>
                <w:szCs w:val="24"/>
              </w:rPr>
              <w:t>равила благоустрою</w:t>
            </w:r>
            <w:r w:rsidR="00780B55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територій населених пунктів, Порядок розміщення зовнішньої реклами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0B55"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надання дозволу на виїзну (виносну) торгівлю та проведення ярмарків на території громади </w:t>
            </w:r>
            <w:r w:rsidR="00780B55" w:rsidRPr="005243CA">
              <w:rPr>
                <w:rFonts w:ascii="Times New Roman" w:hAnsi="Times New Roman" w:cs="Times New Roman"/>
                <w:sz w:val="24"/>
                <w:szCs w:val="24"/>
              </w:rPr>
              <w:t>та ін.</w:t>
            </w: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У разі виявлення невідповідностей ЗАП місцеві НПА підготовлено/внесено зміни.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У разі неможливості внесення змін в окремі місцеві НПА чи окремі норми (через залежність від спеціального законодавство тощо) – визначено «проблемні зони» та визначено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підходи до вирішення можливих колізій і прогалин.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Опрацьовано питання внесення (за потреби) відповідних змін в номенклатуру справ ОМС, внесено відповідні зміни.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A42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A42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Формуляри, типові рішення (АА, процедурні рішення)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A42DC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A42DC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A42DC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Розроблено/удосконалено форми АА (з урахуванням ЗАП, особливо щодо структури негативних АА – ст. 71 і ст. 72). В т. ч. зазначення щодо суб’єкта розгляду скарги та порядку подання скарги.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992" w:type="dxa"/>
          </w:tcPr>
          <w:p w:rsidR="002A4A60" w:rsidRPr="00CD714C" w:rsidRDefault="002A4A60" w:rsidP="00A4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A4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Розроблено шаблони/формуляри:</w:t>
            </w:r>
          </w:p>
          <w:p w:rsidR="002A4A60" w:rsidRPr="00CD714C" w:rsidRDefault="002A4A60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форми (формуляри) заяв (ст. 40);</w:t>
            </w:r>
          </w:p>
          <w:p w:rsidR="002A4A60" w:rsidRPr="00CD714C" w:rsidRDefault="002A4A60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формуляри запрошень та повідомлень (ст. 32);</w:t>
            </w:r>
          </w:p>
          <w:p w:rsidR="002A4A60" w:rsidRPr="00CD714C" w:rsidRDefault="002A4A60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форми (формуляри) скарг (ст. 81);</w:t>
            </w:r>
          </w:p>
          <w:p w:rsidR="002A4A60" w:rsidRPr="00CD714C" w:rsidRDefault="002A4A60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форми (формуляри) клопотань (щодо різних питань передбачених ЗАП / релевантні для справ АО): в т.ч. про відводи тощо (п. 7 ч. 1 ст. 28, ст. 23-24 та ін.);</w:t>
            </w:r>
          </w:p>
          <w:p w:rsidR="002A4A60" w:rsidRPr="00CD714C" w:rsidRDefault="002A4A60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форми рішень за результатами розгляду клопотань (ст. 50);</w:t>
            </w:r>
          </w:p>
          <w:p w:rsidR="002A4A60" w:rsidRPr="00CD714C" w:rsidRDefault="002A4A60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форма (формуляр) на спрощене представництво (ч. 5 ст. 51);</w:t>
            </w:r>
          </w:p>
          <w:p w:rsidR="002A4A60" w:rsidRPr="00CD714C" w:rsidRDefault="002A4A60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форми рішень за результатами розгляду скарги (ч. 2 ст. 78 + ст. 85);</w:t>
            </w:r>
          </w:p>
          <w:p w:rsidR="002A4A60" w:rsidRDefault="002A4A60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форми попередження про примусове виконання /заходи впливу та їх застосування (ст. 98 та </w:t>
            </w:r>
            <w:proofErr w:type="spellStart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191" w:rsidRPr="00CD714C" w:rsidRDefault="00E25191" w:rsidP="00A42DC6">
            <w:pPr>
              <w:pStyle w:val="a4"/>
              <w:numPr>
                <w:ilvl w:val="0"/>
                <w:numId w:val="7"/>
              </w:numPr>
              <w:ind w:left="183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ІК та ТК, опису вхідного пакета документів тощо.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Інформаційні системи / системи документообігу ОМС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Визначено які зміни потрібні у ПЗ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A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інформаційн</w:t>
            </w:r>
            <w:r w:rsidR="00937A8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937A8B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, що використовують АО у діловодстві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5191"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у зв’язку з новими правилами ЗАП.</w:t>
            </w:r>
            <w:r w:rsidR="00E25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У разі потреби внесення змін сформовано </w:t>
            </w:r>
            <w:r w:rsidRPr="00CD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відповідні ТЗ, внесені зміни в ПЗ.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Персонал навчений новому функціоналу в ПЗ.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Інформаційні матеріали для клієнтів АО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інформаційні матеріали, налагоджено інформування про нові права і обов’язки за ЗАП (в т.ч. ч. 2 ст. 28, </w:t>
            </w:r>
            <w:proofErr w:type="spellStart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. третій ч. 1 ст. 63, </w:t>
            </w:r>
            <w:proofErr w:type="spellStart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. другий ч. 4 ст. 75).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Проаналізовано, які правила ЗАП потребуватимуть додаткових ресурсів (напр., рекомендовані листи з повідомленням про вручення тощо).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Прораховано з урахуванням даних минулих періодів можливу потребу у додаткових ресурсах.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  <w:shd w:val="clear" w:color="auto" w:fill="D9E2F3" w:themeFill="accent1" w:themeFillTint="33"/>
          </w:tcPr>
          <w:p w:rsidR="002A4A60" w:rsidRPr="00CD714C" w:rsidRDefault="002A4A60" w:rsidP="00D17FF2">
            <w:pPr>
              <w:pStyle w:val="a4"/>
              <w:numPr>
                <w:ilvl w:val="0"/>
                <w:numId w:val="10"/>
              </w:numPr>
              <w:ind w:right="24" w:hanging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:rsidR="002A4A60" w:rsidRPr="00CD714C" w:rsidRDefault="002A4A60" w:rsidP="00B63B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Налагоджено систему збору та аналізу інформації про застосування ЗАП в АО (в </w:t>
            </w:r>
            <w:proofErr w:type="spellStart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 відкриті питання, проблеми, тощо).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Інформація узагальнюється. За потреби передається в Мін’юст, СКМУ тощо.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60" w:rsidRPr="00CD714C" w:rsidTr="003C5EE4">
        <w:tc>
          <w:tcPr>
            <w:tcW w:w="822" w:type="dxa"/>
          </w:tcPr>
          <w:p w:rsidR="002A4A60" w:rsidRPr="00CD714C" w:rsidRDefault="00D17FF2" w:rsidP="00D17FF2">
            <w:pPr>
              <w:pStyle w:val="a4"/>
              <w:ind w:left="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992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Налагоджено систему збору та аналізу даних (особлива увага): </w:t>
            </w:r>
          </w:p>
          <w:p w:rsidR="002A4A60" w:rsidRPr="00CD714C" w:rsidRDefault="002A4A60" w:rsidP="00E678EF">
            <w:pPr>
              <w:pStyle w:val="a4"/>
              <w:numPr>
                <w:ilvl w:val="0"/>
                <w:numId w:val="8"/>
              </w:num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отримані заяви і скарги; </w:t>
            </w:r>
          </w:p>
          <w:p w:rsidR="002A4A60" w:rsidRPr="00CD714C" w:rsidRDefault="002A4A60" w:rsidP="00E678EF">
            <w:pPr>
              <w:pStyle w:val="a4"/>
              <w:numPr>
                <w:ilvl w:val="0"/>
                <w:numId w:val="8"/>
              </w:num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задоволені і не задоволені заяви і скарги; </w:t>
            </w:r>
          </w:p>
          <w:p w:rsidR="002A4A60" w:rsidRPr="00CD714C" w:rsidRDefault="002A4A60" w:rsidP="00E678EF">
            <w:pPr>
              <w:pStyle w:val="a4"/>
              <w:numPr>
                <w:ilvl w:val="0"/>
                <w:numId w:val="8"/>
              </w:num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 xml:space="preserve">судове оскарження АА органу, і результати його розгляду. </w:t>
            </w:r>
          </w:p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C">
              <w:rPr>
                <w:rFonts w:ascii="Times New Roman" w:hAnsi="Times New Roman" w:cs="Times New Roman"/>
                <w:sz w:val="24"/>
                <w:szCs w:val="24"/>
              </w:rPr>
              <w:t>Порівнюються дані 2021 (за наявності), 2023, 2024 років.</w:t>
            </w:r>
          </w:p>
        </w:tc>
        <w:tc>
          <w:tcPr>
            <w:tcW w:w="2268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A60" w:rsidRPr="00CD714C" w:rsidRDefault="002A4A60" w:rsidP="003C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232" w:rsidRDefault="00202232" w:rsidP="00B6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AD7" w:rsidRDefault="00006AD7" w:rsidP="00B6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AD7" w:rsidRPr="00CD714C" w:rsidRDefault="00006AD7" w:rsidP="00006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Проєкт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чеклісту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розроблений в межах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проєкту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“Продовження підтримки комплексної реформи державного управління в Україні (EU4PAR 2) на замовлення Секретаріату Кабінету Міністрів України та Міністерства юстиції України.</w:t>
      </w:r>
    </w:p>
    <w:sectPr w:rsidR="00006AD7" w:rsidRPr="00CD714C" w:rsidSect="008E7FF6">
      <w:pgSz w:w="16838" w:h="11906" w:orient="landscape"/>
      <w:pgMar w:top="709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B57"/>
    <w:multiLevelType w:val="hybridMultilevel"/>
    <w:tmpl w:val="33BE8B32"/>
    <w:lvl w:ilvl="0" w:tplc="CFEAE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50"/>
    <w:multiLevelType w:val="hybridMultilevel"/>
    <w:tmpl w:val="7CF06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F247D"/>
    <w:multiLevelType w:val="hybridMultilevel"/>
    <w:tmpl w:val="FC3E5E18"/>
    <w:lvl w:ilvl="0" w:tplc="CFEAE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4779"/>
    <w:multiLevelType w:val="multilevel"/>
    <w:tmpl w:val="2E5257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666CF1"/>
    <w:multiLevelType w:val="hybridMultilevel"/>
    <w:tmpl w:val="6552946A"/>
    <w:lvl w:ilvl="0" w:tplc="CFEAE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A4BA0"/>
    <w:multiLevelType w:val="hybridMultilevel"/>
    <w:tmpl w:val="F0CC5DF2"/>
    <w:lvl w:ilvl="0" w:tplc="CFEAE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E192B"/>
    <w:multiLevelType w:val="multilevel"/>
    <w:tmpl w:val="67825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AB5016"/>
    <w:multiLevelType w:val="multilevel"/>
    <w:tmpl w:val="67825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FD257C"/>
    <w:multiLevelType w:val="hybridMultilevel"/>
    <w:tmpl w:val="8C5ACCCE"/>
    <w:lvl w:ilvl="0" w:tplc="951A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C3E28"/>
    <w:multiLevelType w:val="hybridMultilevel"/>
    <w:tmpl w:val="895C15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42608"/>
    <w:multiLevelType w:val="multilevel"/>
    <w:tmpl w:val="67825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124FD8"/>
    <w:multiLevelType w:val="hybridMultilevel"/>
    <w:tmpl w:val="68FAAC3C"/>
    <w:lvl w:ilvl="0" w:tplc="CFEAE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F75DA"/>
    <w:multiLevelType w:val="hybridMultilevel"/>
    <w:tmpl w:val="06765140"/>
    <w:lvl w:ilvl="0" w:tplc="CFEAE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E5890"/>
    <w:multiLevelType w:val="hybridMultilevel"/>
    <w:tmpl w:val="9C3C4BF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E1C74"/>
    <w:multiLevelType w:val="hybridMultilevel"/>
    <w:tmpl w:val="514EA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CFEAE5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03E98"/>
    <w:multiLevelType w:val="hybridMultilevel"/>
    <w:tmpl w:val="02A6D488"/>
    <w:lvl w:ilvl="0" w:tplc="CFEAE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87574"/>
    <w:multiLevelType w:val="hybridMultilevel"/>
    <w:tmpl w:val="69D228E2"/>
    <w:lvl w:ilvl="0" w:tplc="951A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07E29"/>
    <w:multiLevelType w:val="hybridMultilevel"/>
    <w:tmpl w:val="514EA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13"/>
  </w:num>
  <w:num w:numId="7">
    <w:abstractNumId w:val="12"/>
  </w:num>
  <w:num w:numId="8">
    <w:abstractNumId w:val="2"/>
  </w:num>
  <w:num w:numId="9">
    <w:abstractNumId w:val="17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  <w:num w:numId="15">
    <w:abstractNumId w:val="15"/>
  </w:num>
  <w:num w:numId="16">
    <w:abstractNumId w:val="5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32"/>
    <w:rsid w:val="00006AD7"/>
    <w:rsid w:val="000975D9"/>
    <w:rsid w:val="000A259F"/>
    <w:rsid w:val="000C57A8"/>
    <w:rsid w:val="000F0ABE"/>
    <w:rsid w:val="001214D2"/>
    <w:rsid w:val="00143F2E"/>
    <w:rsid w:val="00151CFD"/>
    <w:rsid w:val="00155687"/>
    <w:rsid w:val="0017261E"/>
    <w:rsid w:val="001835E8"/>
    <w:rsid w:val="00186FFF"/>
    <w:rsid w:val="001B0373"/>
    <w:rsid w:val="00201F18"/>
    <w:rsid w:val="00202232"/>
    <w:rsid w:val="0020293A"/>
    <w:rsid w:val="00210A4A"/>
    <w:rsid w:val="00283B5A"/>
    <w:rsid w:val="002A3D35"/>
    <w:rsid w:val="002A4A60"/>
    <w:rsid w:val="002B6C86"/>
    <w:rsid w:val="002C05FA"/>
    <w:rsid w:val="00354B08"/>
    <w:rsid w:val="0037117B"/>
    <w:rsid w:val="00372BFE"/>
    <w:rsid w:val="00372DC3"/>
    <w:rsid w:val="003920A5"/>
    <w:rsid w:val="003A7254"/>
    <w:rsid w:val="003C227B"/>
    <w:rsid w:val="003C5EE4"/>
    <w:rsid w:val="003C6D44"/>
    <w:rsid w:val="003E4889"/>
    <w:rsid w:val="00433BBC"/>
    <w:rsid w:val="00453E62"/>
    <w:rsid w:val="00453F91"/>
    <w:rsid w:val="00483E24"/>
    <w:rsid w:val="004B11BA"/>
    <w:rsid w:val="004C438C"/>
    <w:rsid w:val="004D63AE"/>
    <w:rsid w:val="004E5339"/>
    <w:rsid w:val="005243CA"/>
    <w:rsid w:val="00537604"/>
    <w:rsid w:val="0054733F"/>
    <w:rsid w:val="00561DE7"/>
    <w:rsid w:val="005913D8"/>
    <w:rsid w:val="00591616"/>
    <w:rsid w:val="005C4ADE"/>
    <w:rsid w:val="005D248F"/>
    <w:rsid w:val="005D60DF"/>
    <w:rsid w:val="005E0713"/>
    <w:rsid w:val="00606D55"/>
    <w:rsid w:val="006122E7"/>
    <w:rsid w:val="00624455"/>
    <w:rsid w:val="00624B07"/>
    <w:rsid w:val="00642DBF"/>
    <w:rsid w:val="006A0065"/>
    <w:rsid w:val="00711B2C"/>
    <w:rsid w:val="007212D2"/>
    <w:rsid w:val="007354A6"/>
    <w:rsid w:val="00742104"/>
    <w:rsid w:val="007526E2"/>
    <w:rsid w:val="00764D36"/>
    <w:rsid w:val="00780B55"/>
    <w:rsid w:val="007C3DCC"/>
    <w:rsid w:val="007C6E60"/>
    <w:rsid w:val="008208D6"/>
    <w:rsid w:val="00852A53"/>
    <w:rsid w:val="008831EA"/>
    <w:rsid w:val="00883DE5"/>
    <w:rsid w:val="008933DD"/>
    <w:rsid w:val="008D2148"/>
    <w:rsid w:val="008D5F83"/>
    <w:rsid w:val="008E7FF6"/>
    <w:rsid w:val="00906E2F"/>
    <w:rsid w:val="0091478C"/>
    <w:rsid w:val="00924786"/>
    <w:rsid w:val="00937A8B"/>
    <w:rsid w:val="00974E9E"/>
    <w:rsid w:val="009908C5"/>
    <w:rsid w:val="009930D3"/>
    <w:rsid w:val="009C40FF"/>
    <w:rsid w:val="009D345D"/>
    <w:rsid w:val="009D7C3F"/>
    <w:rsid w:val="00A22F6F"/>
    <w:rsid w:val="00A23993"/>
    <w:rsid w:val="00A318C2"/>
    <w:rsid w:val="00A361F3"/>
    <w:rsid w:val="00A42DC6"/>
    <w:rsid w:val="00AC1784"/>
    <w:rsid w:val="00AC4F32"/>
    <w:rsid w:val="00AC6E3B"/>
    <w:rsid w:val="00AD349E"/>
    <w:rsid w:val="00AD641E"/>
    <w:rsid w:val="00AD6EC9"/>
    <w:rsid w:val="00AE1B03"/>
    <w:rsid w:val="00AF482A"/>
    <w:rsid w:val="00AF5107"/>
    <w:rsid w:val="00B41289"/>
    <w:rsid w:val="00B52DD9"/>
    <w:rsid w:val="00B557A6"/>
    <w:rsid w:val="00B60431"/>
    <w:rsid w:val="00B63BF3"/>
    <w:rsid w:val="00B71F36"/>
    <w:rsid w:val="00B90286"/>
    <w:rsid w:val="00B95064"/>
    <w:rsid w:val="00B95721"/>
    <w:rsid w:val="00BD1E18"/>
    <w:rsid w:val="00BE0EFB"/>
    <w:rsid w:val="00BF39E8"/>
    <w:rsid w:val="00C26A37"/>
    <w:rsid w:val="00C440A5"/>
    <w:rsid w:val="00C667B4"/>
    <w:rsid w:val="00C66ED9"/>
    <w:rsid w:val="00C707A5"/>
    <w:rsid w:val="00CA2C21"/>
    <w:rsid w:val="00CD714C"/>
    <w:rsid w:val="00D17FF2"/>
    <w:rsid w:val="00D40019"/>
    <w:rsid w:val="00D465ED"/>
    <w:rsid w:val="00D61DC9"/>
    <w:rsid w:val="00D949DF"/>
    <w:rsid w:val="00DA0828"/>
    <w:rsid w:val="00E25191"/>
    <w:rsid w:val="00E678EF"/>
    <w:rsid w:val="00E71DEA"/>
    <w:rsid w:val="00EA2820"/>
    <w:rsid w:val="00EA502E"/>
    <w:rsid w:val="00EA61FA"/>
    <w:rsid w:val="00EA6F80"/>
    <w:rsid w:val="00EB72CC"/>
    <w:rsid w:val="00EC6352"/>
    <w:rsid w:val="00EE54A3"/>
    <w:rsid w:val="00F22C86"/>
    <w:rsid w:val="00F42188"/>
    <w:rsid w:val="00F72497"/>
    <w:rsid w:val="00FC2B11"/>
    <w:rsid w:val="00FC49E5"/>
    <w:rsid w:val="00FC5C57"/>
    <w:rsid w:val="00FC6DB7"/>
    <w:rsid w:val="00FD02DC"/>
    <w:rsid w:val="00FE716B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9664F-3676-4F59-8AC5-331D7A35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6D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117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37117B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A006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A006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A006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A006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A006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0065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5D248F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D714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E1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zrozumilo.in.ua/courses/course-v1:EEF+EEF-023+feb22/about" TargetMode="External"/><Relationship Id="rId13" Type="http://schemas.openxmlformats.org/officeDocument/2006/relationships/hyperlink" Target="https://adminprocedure.org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inprocedure.org.ua/pages/3" TargetMode="External"/><Relationship Id="rId12" Type="http://schemas.openxmlformats.org/officeDocument/2006/relationships/hyperlink" Target="https://www.facebook.com/groups/10195588953393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073-20" TargetMode="External"/><Relationship Id="rId11" Type="http://schemas.openxmlformats.org/officeDocument/2006/relationships/hyperlink" Target="https://adminprocedure.org.ua/assets/docs/lap_commentary_we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inprocedure.org.ua/assets/docs/Check.pdf" TargetMode="External"/><Relationship Id="rId10" Type="http://schemas.openxmlformats.org/officeDocument/2006/relationships/hyperlink" Target="https://adminprocedure.org.ua/assets/docs/LAP_Handbook_for_public_servant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nprocedure.org.ua/" TargetMode="External"/><Relationship Id="rId14" Type="http://schemas.openxmlformats.org/officeDocument/2006/relationships/hyperlink" Target="https://zakon.rada.gov.ua/laws/show/420-2023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B5C6-3055-40A1-88BF-38F6732C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2044</Words>
  <Characters>11656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Makarenko</dc:creator>
  <cp:keywords/>
  <dc:description/>
  <cp:lastModifiedBy>userMB</cp:lastModifiedBy>
  <cp:revision>2</cp:revision>
  <dcterms:created xsi:type="dcterms:W3CDTF">2023-12-12T14:16:00Z</dcterms:created>
  <dcterms:modified xsi:type="dcterms:W3CDTF">2023-12-12T14:16:00Z</dcterms:modified>
</cp:coreProperties>
</file>